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textAlignment w:val="auto"/>
        <w:rPr>
          <w:rFonts w:hint="eastAsia" w:eastAsia="方正小标宋_GBK"/>
          <w:sz w:val="44"/>
          <w:szCs w:val="44"/>
          <w:lang w:val="en-US" w:eastAsia="zh-CN"/>
        </w:rPr>
      </w:pPr>
      <w:r>
        <w:rPr>
          <w:rFonts w:hint="eastAsia" w:eastAsia="方正黑体_GBK"/>
          <w:sz w:val="32"/>
          <w:szCs w:val="32"/>
          <w:lang w:val="en-US" w:eastAsia="zh-CN"/>
        </w:rPr>
        <w:t>附件2</w:t>
      </w:r>
    </w:p>
    <w:p>
      <w:pPr>
        <w:keepNext w:val="0"/>
        <w:keepLines w:val="0"/>
        <w:pageBreakBefore w:val="0"/>
        <w:widowControl w:val="0"/>
        <w:kinsoku/>
        <w:wordWrap/>
        <w:overflowPunct/>
        <w:topLinePunct w:val="0"/>
        <w:bidi w:val="0"/>
        <w:adjustRightInd/>
        <w:snapToGrid/>
        <w:spacing w:line="600" w:lineRule="exact"/>
        <w:jc w:val="center"/>
        <w:textAlignment w:val="auto"/>
        <w:rPr>
          <w:rFonts w:eastAsia="黑体"/>
          <w:sz w:val="36"/>
          <w:szCs w:val="36"/>
        </w:rPr>
      </w:pPr>
      <w:bookmarkStart w:id="0" w:name="_GoBack"/>
      <w:r>
        <w:rPr>
          <w:rFonts w:eastAsia="方正小标宋_GBK"/>
          <w:sz w:val="44"/>
          <w:szCs w:val="44"/>
        </w:rPr>
        <w:t>消防安全重点单位申报备案登记表</w:t>
      </w:r>
    </w:p>
    <w:bookmarkEnd w:id="0"/>
    <w:tbl>
      <w:tblPr>
        <w:tblStyle w:val="2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80"/>
        <w:gridCol w:w="1116"/>
        <w:gridCol w:w="146"/>
        <w:gridCol w:w="941"/>
        <w:gridCol w:w="1470"/>
        <w:gridCol w:w="1260"/>
        <w:gridCol w:w="635"/>
        <w:gridCol w:w="146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19" w:type="dxa"/>
            <w:gridSpan w:val="2"/>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单位名称</w:t>
            </w:r>
          </w:p>
        </w:tc>
        <w:tc>
          <w:tcPr>
            <w:tcW w:w="5568" w:type="dxa"/>
            <w:gridSpan w:val="6"/>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p>
        </w:tc>
        <w:tc>
          <w:tcPr>
            <w:tcW w:w="1463" w:type="dxa"/>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联系电话</w:t>
            </w:r>
          </w:p>
        </w:tc>
        <w:tc>
          <w:tcPr>
            <w:tcW w:w="1610"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619" w:type="dxa"/>
            <w:gridSpan w:val="2"/>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地址</w:t>
            </w:r>
          </w:p>
        </w:tc>
        <w:tc>
          <w:tcPr>
            <w:tcW w:w="5568" w:type="dxa"/>
            <w:gridSpan w:val="6"/>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 xml:space="preserve">     市        区（县）      路（乡、镇）        号</w:t>
            </w:r>
          </w:p>
        </w:tc>
        <w:tc>
          <w:tcPr>
            <w:tcW w:w="1463" w:type="dxa"/>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邮编</w:t>
            </w:r>
          </w:p>
        </w:tc>
        <w:tc>
          <w:tcPr>
            <w:tcW w:w="1610"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1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法定代表人或主要负责人</w:t>
            </w:r>
          </w:p>
        </w:tc>
        <w:tc>
          <w:tcPr>
            <w:tcW w:w="1116" w:type="dxa"/>
            <w:noWrap w:val="0"/>
            <w:vAlign w:val="center"/>
          </w:tcPr>
          <w:p>
            <w:pPr>
              <w:keepNext w:val="0"/>
              <w:keepLines w:val="0"/>
              <w:suppressLineNumbers w:val="0"/>
              <w:spacing w:before="0" w:beforeAutospacing="0" w:after="0" w:afterAutospacing="0"/>
              <w:ind w:left="0" w:right="0"/>
              <w:jc w:val="center"/>
              <w:rPr>
                <w:rFonts w:hint="default"/>
                <w:szCs w:val="21"/>
              </w:rPr>
            </w:pPr>
          </w:p>
        </w:tc>
        <w:tc>
          <w:tcPr>
            <w:tcW w:w="1087" w:type="dxa"/>
            <w:gridSpan w:val="2"/>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消防安全</w:t>
            </w:r>
          </w:p>
          <w:p>
            <w:pPr>
              <w:keepNext w:val="0"/>
              <w:keepLines w:val="0"/>
              <w:suppressLineNumbers w:val="0"/>
              <w:spacing w:before="0" w:beforeAutospacing="0" w:after="0" w:afterAutospacing="0"/>
              <w:ind w:left="0" w:right="0"/>
              <w:jc w:val="center"/>
              <w:rPr>
                <w:rFonts w:hint="default"/>
                <w:szCs w:val="21"/>
              </w:rPr>
            </w:pPr>
            <w:r>
              <w:rPr>
                <w:rFonts w:hint="default"/>
                <w:szCs w:val="21"/>
              </w:rPr>
              <w:t>责任人</w:t>
            </w:r>
          </w:p>
        </w:tc>
        <w:tc>
          <w:tcPr>
            <w:tcW w:w="1470" w:type="dxa"/>
            <w:noWrap w:val="0"/>
            <w:vAlign w:val="center"/>
          </w:tcPr>
          <w:p>
            <w:pPr>
              <w:keepNext w:val="0"/>
              <w:keepLines w:val="0"/>
              <w:suppressLineNumbers w:val="0"/>
              <w:spacing w:before="0" w:beforeAutospacing="0" w:after="0" w:afterAutospacing="0"/>
              <w:ind w:left="0" w:right="0"/>
              <w:jc w:val="center"/>
              <w:rPr>
                <w:rFonts w:hint="default"/>
                <w:szCs w:val="21"/>
              </w:rPr>
            </w:pPr>
          </w:p>
        </w:tc>
        <w:tc>
          <w:tcPr>
            <w:tcW w:w="1260"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消防安全管理人</w:t>
            </w:r>
          </w:p>
        </w:tc>
        <w:tc>
          <w:tcPr>
            <w:tcW w:w="635" w:type="dxa"/>
            <w:noWrap w:val="0"/>
            <w:vAlign w:val="center"/>
          </w:tcPr>
          <w:p>
            <w:pPr>
              <w:keepNext w:val="0"/>
              <w:keepLines w:val="0"/>
              <w:suppressLineNumbers w:val="0"/>
              <w:spacing w:before="0" w:beforeAutospacing="0" w:after="0" w:afterAutospacing="0"/>
              <w:ind w:left="0" w:right="0"/>
              <w:jc w:val="center"/>
              <w:rPr>
                <w:rFonts w:hint="default"/>
                <w:szCs w:val="21"/>
              </w:rPr>
            </w:pPr>
          </w:p>
        </w:tc>
        <w:tc>
          <w:tcPr>
            <w:tcW w:w="1463"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职工人数（人）</w:t>
            </w:r>
          </w:p>
        </w:tc>
        <w:tc>
          <w:tcPr>
            <w:tcW w:w="1610"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1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有无自动</w:t>
            </w:r>
          </w:p>
          <w:p>
            <w:pPr>
              <w:keepNext w:val="0"/>
              <w:keepLines w:val="0"/>
              <w:suppressLineNumbers w:val="0"/>
              <w:spacing w:before="0" w:beforeAutospacing="0" w:after="0" w:afterAutospacing="0"/>
              <w:ind w:left="0" w:right="0"/>
              <w:jc w:val="center"/>
              <w:rPr>
                <w:rFonts w:hint="default"/>
                <w:szCs w:val="21"/>
              </w:rPr>
            </w:pPr>
            <w:r>
              <w:rPr>
                <w:rFonts w:hint="default"/>
                <w:szCs w:val="21"/>
              </w:rPr>
              <w:t>消防设施</w:t>
            </w:r>
          </w:p>
        </w:tc>
        <w:tc>
          <w:tcPr>
            <w:tcW w:w="2203" w:type="dxa"/>
            <w:gridSpan w:val="3"/>
            <w:noWrap w:val="0"/>
            <w:vAlign w:val="center"/>
          </w:tcPr>
          <w:p>
            <w:pPr>
              <w:keepNext w:val="0"/>
              <w:keepLines w:val="0"/>
              <w:suppressLineNumbers w:val="0"/>
              <w:spacing w:before="0" w:beforeAutospacing="0" w:after="0" w:afterAutospacing="0" w:line="480" w:lineRule="auto"/>
              <w:ind w:left="0" w:right="0" w:firstLine="420" w:firstLineChars="200"/>
              <w:rPr>
                <w:rFonts w:hint="default"/>
                <w:szCs w:val="21"/>
              </w:rPr>
            </w:pPr>
            <w:r>
              <w:rPr>
                <w:rFonts w:hint="default"/>
                <w:szCs w:val="21"/>
              </w:rPr>
              <w:t>□有   □无</w:t>
            </w:r>
          </w:p>
        </w:tc>
        <w:tc>
          <w:tcPr>
            <w:tcW w:w="1470"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固定资产</w:t>
            </w:r>
          </w:p>
          <w:p>
            <w:pPr>
              <w:keepNext w:val="0"/>
              <w:keepLines w:val="0"/>
              <w:suppressLineNumbers w:val="0"/>
              <w:spacing w:before="0" w:beforeAutospacing="0" w:after="0" w:afterAutospacing="0"/>
              <w:ind w:left="0" w:right="0"/>
              <w:jc w:val="center"/>
              <w:rPr>
                <w:rFonts w:hint="default"/>
                <w:szCs w:val="21"/>
              </w:rPr>
            </w:pPr>
            <w:r>
              <w:rPr>
                <w:rFonts w:hint="default"/>
                <w:szCs w:val="21"/>
              </w:rPr>
              <w:t>（万元）</w:t>
            </w:r>
          </w:p>
        </w:tc>
        <w:tc>
          <w:tcPr>
            <w:tcW w:w="1895" w:type="dxa"/>
            <w:gridSpan w:val="2"/>
            <w:noWrap w:val="0"/>
            <w:vAlign w:val="center"/>
          </w:tcPr>
          <w:p>
            <w:pPr>
              <w:keepNext w:val="0"/>
              <w:keepLines w:val="0"/>
              <w:suppressLineNumbers w:val="0"/>
              <w:spacing w:before="0" w:beforeAutospacing="0" w:after="0" w:afterAutospacing="0"/>
              <w:ind w:left="0" w:right="0"/>
              <w:jc w:val="center"/>
              <w:rPr>
                <w:rFonts w:hint="default"/>
                <w:szCs w:val="21"/>
              </w:rPr>
            </w:pPr>
          </w:p>
        </w:tc>
        <w:tc>
          <w:tcPr>
            <w:tcW w:w="1463"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占地面积（㎡）</w:t>
            </w:r>
          </w:p>
        </w:tc>
        <w:tc>
          <w:tcPr>
            <w:tcW w:w="1610"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61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建筑层数</w:t>
            </w:r>
          </w:p>
        </w:tc>
        <w:tc>
          <w:tcPr>
            <w:tcW w:w="2203" w:type="dxa"/>
            <w:gridSpan w:val="3"/>
            <w:noWrap w:val="0"/>
            <w:vAlign w:val="center"/>
          </w:tcPr>
          <w:p>
            <w:pPr>
              <w:keepNext w:val="0"/>
              <w:keepLines w:val="0"/>
              <w:suppressLineNumbers w:val="0"/>
              <w:spacing w:before="0" w:beforeAutospacing="0" w:after="0" w:afterAutospacing="0" w:line="480" w:lineRule="auto"/>
              <w:ind w:left="0" w:right="0"/>
              <w:jc w:val="center"/>
              <w:rPr>
                <w:rFonts w:hint="default"/>
                <w:szCs w:val="21"/>
              </w:rPr>
            </w:pPr>
          </w:p>
        </w:tc>
        <w:tc>
          <w:tcPr>
            <w:tcW w:w="1470"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建筑高（m）</w:t>
            </w:r>
          </w:p>
        </w:tc>
        <w:tc>
          <w:tcPr>
            <w:tcW w:w="1895" w:type="dxa"/>
            <w:gridSpan w:val="2"/>
            <w:noWrap w:val="0"/>
            <w:vAlign w:val="center"/>
          </w:tcPr>
          <w:p>
            <w:pPr>
              <w:keepNext w:val="0"/>
              <w:keepLines w:val="0"/>
              <w:suppressLineNumbers w:val="0"/>
              <w:spacing w:before="0" w:beforeAutospacing="0" w:after="0" w:afterAutospacing="0"/>
              <w:ind w:left="0" w:right="0"/>
              <w:jc w:val="center"/>
              <w:rPr>
                <w:rFonts w:hint="default"/>
                <w:szCs w:val="21"/>
              </w:rPr>
            </w:pPr>
          </w:p>
        </w:tc>
        <w:tc>
          <w:tcPr>
            <w:tcW w:w="1463"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建筑面（㎡）</w:t>
            </w:r>
          </w:p>
        </w:tc>
        <w:tc>
          <w:tcPr>
            <w:tcW w:w="1610"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19" w:type="dxa"/>
            <w:gridSpan w:val="2"/>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组织机构代码</w:t>
            </w:r>
          </w:p>
        </w:tc>
        <w:tc>
          <w:tcPr>
            <w:tcW w:w="2203" w:type="dxa"/>
            <w:gridSpan w:val="3"/>
            <w:noWrap w:val="0"/>
            <w:vAlign w:val="center"/>
          </w:tcPr>
          <w:p>
            <w:pPr>
              <w:keepNext w:val="0"/>
              <w:keepLines w:val="0"/>
              <w:suppressLineNumbers w:val="0"/>
              <w:spacing w:before="0" w:beforeAutospacing="0" w:after="0" w:afterAutospacing="0" w:line="480" w:lineRule="auto"/>
              <w:ind w:left="0" w:right="0"/>
              <w:jc w:val="center"/>
              <w:rPr>
                <w:rFonts w:hint="default"/>
                <w:szCs w:val="21"/>
              </w:rPr>
            </w:pPr>
          </w:p>
        </w:tc>
        <w:tc>
          <w:tcPr>
            <w:tcW w:w="1470"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单位成立时间</w:t>
            </w:r>
          </w:p>
        </w:tc>
        <w:tc>
          <w:tcPr>
            <w:tcW w:w="1895" w:type="dxa"/>
            <w:gridSpan w:val="2"/>
            <w:noWrap w:val="0"/>
            <w:vAlign w:val="center"/>
          </w:tcPr>
          <w:p>
            <w:pPr>
              <w:keepNext w:val="0"/>
              <w:keepLines w:val="0"/>
              <w:suppressLineNumbers w:val="0"/>
              <w:spacing w:before="0" w:beforeAutospacing="0" w:after="0" w:afterAutospacing="0"/>
              <w:ind w:left="0" w:right="0"/>
              <w:jc w:val="center"/>
              <w:rPr>
                <w:rFonts w:hint="default"/>
                <w:szCs w:val="21"/>
              </w:rPr>
            </w:pPr>
          </w:p>
        </w:tc>
        <w:tc>
          <w:tcPr>
            <w:tcW w:w="1463" w:type="dxa"/>
            <w:noWrap w:val="0"/>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上级主管</w:t>
            </w:r>
          </w:p>
          <w:p>
            <w:pPr>
              <w:keepNext w:val="0"/>
              <w:keepLines w:val="0"/>
              <w:suppressLineNumbers w:val="0"/>
              <w:spacing w:before="0" w:beforeAutospacing="0" w:after="0" w:afterAutospacing="0"/>
              <w:ind w:left="0" w:right="0"/>
              <w:jc w:val="center"/>
              <w:rPr>
                <w:rFonts w:hint="default"/>
                <w:szCs w:val="21"/>
              </w:rPr>
            </w:pPr>
            <w:r>
              <w:rPr>
                <w:rFonts w:hint="default"/>
                <w:szCs w:val="21"/>
              </w:rPr>
              <w:t>部门</w:t>
            </w:r>
          </w:p>
        </w:tc>
        <w:tc>
          <w:tcPr>
            <w:tcW w:w="1610"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19" w:type="dxa"/>
            <w:gridSpan w:val="2"/>
            <w:tcBorders>
              <w:left w:val="single" w:color="auto" w:sz="4" w:space="0"/>
            </w:tcBorders>
            <w:noWrap w:val="0"/>
            <w:vAlign w:val="center"/>
          </w:tcPr>
          <w:p>
            <w:pPr>
              <w:keepNext w:val="0"/>
              <w:keepLines w:val="0"/>
              <w:suppressLineNumbers w:val="0"/>
              <w:spacing w:before="0" w:beforeAutospacing="0" w:after="0" w:afterAutospacing="0" w:line="480" w:lineRule="auto"/>
              <w:ind w:left="0" w:right="0"/>
              <w:jc w:val="center"/>
              <w:rPr>
                <w:rFonts w:hint="default"/>
                <w:szCs w:val="21"/>
              </w:rPr>
            </w:pPr>
            <w:r>
              <w:rPr>
                <w:rFonts w:hint="default"/>
                <w:szCs w:val="21"/>
              </w:rPr>
              <w:t>单位性质</w:t>
            </w:r>
          </w:p>
        </w:tc>
        <w:tc>
          <w:tcPr>
            <w:tcW w:w="8641" w:type="dxa"/>
            <w:gridSpan w:val="8"/>
            <w:tcBorders>
              <w:right w:val="single" w:color="auto" w:sz="4" w:space="0"/>
            </w:tcBorders>
            <w:noWrap w:val="0"/>
            <w:vAlign w:val="top"/>
          </w:tcPr>
          <w:p>
            <w:pPr>
              <w:keepNext w:val="0"/>
              <w:keepLines w:val="0"/>
              <w:suppressLineNumbers w:val="0"/>
              <w:spacing w:before="0" w:beforeAutospacing="0" w:after="0" w:afterAutospacing="0"/>
              <w:ind w:left="0" w:right="0" w:firstLine="210" w:firstLineChars="100"/>
              <w:rPr>
                <w:rFonts w:hint="default"/>
                <w:szCs w:val="21"/>
              </w:rPr>
            </w:pPr>
            <w:r>
              <w:rPr>
                <w:rFonts w:hint="default"/>
                <w:szCs w:val="21"/>
              </w:rPr>
              <w:t>□机关      □团体       □事业      □国有企业     □集体企业     □私营企业</w:t>
            </w:r>
          </w:p>
          <w:p>
            <w:pPr>
              <w:keepNext w:val="0"/>
              <w:keepLines w:val="0"/>
              <w:suppressLineNumbers w:val="0"/>
              <w:spacing w:before="0" w:beforeAutospacing="0" w:after="0" w:afterAutospacing="0"/>
              <w:ind w:left="0" w:right="0" w:firstLine="210" w:firstLineChars="100"/>
              <w:rPr>
                <w:rFonts w:hint="default"/>
                <w:szCs w:val="21"/>
              </w:rPr>
            </w:pPr>
            <w:r>
              <w:rPr>
                <w:rFonts w:hint="default"/>
                <w:szCs w:val="21"/>
              </w:rPr>
              <w:t xml:space="preserve">□联营企业  □股份制企业 □外商投资企业     □港澳台投资企业   </w:t>
            </w:r>
            <w:r>
              <w:rPr>
                <w:rFonts w:hint="eastAsia"/>
                <w:szCs w:val="21"/>
                <w:lang w:val="en-US" w:eastAsia="zh-CN"/>
              </w:rPr>
              <w:t xml:space="preserve">  </w:t>
            </w:r>
            <w:r>
              <w:rPr>
                <w:rFonts w:hint="default"/>
                <w:szCs w:val="21"/>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39" w:type="dxa"/>
            <w:vMerge w:val="restart"/>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Cs w:val="21"/>
              </w:rPr>
            </w:pPr>
          </w:p>
          <w:p>
            <w:pPr>
              <w:pStyle w:val="27"/>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Cs w:val="21"/>
              </w:rPr>
            </w:pPr>
          </w:p>
          <w:p>
            <w:pPr>
              <w:pStyle w:val="27"/>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Cs w:val="21"/>
              </w:rPr>
            </w:pPr>
          </w:p>
          <w:p>
            <w:pPr>
              <w:pStyle w:val="27"/>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Cs w:val="21"/>
              </w:rPr>
            </w:pPr>
          </w:p>
          <w:p>
            <w:pPr>
              <w:pStyle w:val="27"/>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jc w:val="center"/>
              <w:rPr>
                <w:rFonts w:hint="default"/>
                <w:szCs w:val="21"/>
              </w:rPr>
            </w:pPr>
            <w:r>
              <w:rPr>
                <w:rFonts w:hint="default"/>
                <w:szCs w:val="21"/>
              </w:rPr>
              <w:t>登</w:t>
            </w: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r>
              <w:rPr>
                <w:rFonts w:hint="default"/>
                <w:szCs w:val="21"/>
              </w:rPr>
              <w:t>记</w:t>
            </w: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r>
              <w:rPr>
                <w:rFonts w:hint="default"/>
                <w:szCs w:val="21"/>
              </w:rPr>
              <w:t>单</w:t>
            </w: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r>
              <w:rPr>
                <w:rFonts w:hint="default"/>
                <w:szCs w:val="21"/>
              </w:rPr>
              <w:t>位</w:t>
            </w: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r>
              <w:rPr>
                <w:rFonts w:hint="default"/>
                <w:szCs w:val="21"/>
              </w:rPr>
              <w:t>类</w:t>
            </w: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p>
          <w:p>
            <w:pPr>
              <w:keepNext w:val="0"/>
              <w:keepLines w:val="0"/>
              <w:suppressLineNumbers w:val="0"/>
              <w:spacing w:before="0" w:beforeAutospacing="0" w:after="0" w:afterAutospacing="0"/>
              <w:ind w:left="0" w:right="0"/>
              <w:jc w:val="center"/>
              <w:rPr>
                <w:rFonts w:hint="default"/>
                <w:szCs w:val="21"/>
              </w:rPr>
            </w:pPr>
            <w:r>
              <w:rPr>
                <w:rFonts w:hint="default"/>
                <w:szCs w:val="21"/>
              </w:rPr>
              <w:t>别</w:t>
            </w:r>
          </w:p>
        </w:tc>
        <w:tc>
          <w:tcPr>
            <w:tcW w:w="2342"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主 类</w:t>
            </w: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分      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center"/>
          </w:tcPr>
          <w:p>
            <w:pPr>
              <w:keepNext w:val="0"/>
              <w:keepLines w:val="0"/>
              <w:suppressLineNumbers w:val="0"/>
              <w:spacing w:before="0" w:beforeAutospacing="0" w:after="0" w:afterAutospacing="0" w:line="288" w:lineRule="auto"/>
              <w:ind w:left="0" w:right="0"/>
              <w:rPr>
                <w:rFonts w:hint="default"/>
                <w:szCs w:val="21"/>
              </w:rPr>
            </w:pPr>
            <w:r>
              <w:rPr>
                <w:rFonts w:hint="default"/>
                <w:szCs w:val="21"/>
              </w:rPr>
              <w:t>□ 1、商场（市场）、宾馆（饭店）、体育场（馆）、会堂、公共娱乐场所等公众聚集场所</w:t>
            </w: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630" w:right="0" w:hanging="630" w:hangingChars="300"/>
              <w:rPr>
                <w:rFonts w:hint="default"/>
                <w:szCs w:val="21"/>
              </w:rPr>
            </w:pPr>
            <w:r>
              <w:rPr>
                <w:rFonts w:hint="default"/>
                <w:szCs w:val="21"/>
              </w:rPr>
              <w:t xml:space="preserve">□ 1. 1 </w:t>
            </w:r>
            <w:r>
              <w:rPr>
                <w:rFonts w:hint="eastAsia"/>
                <w:szCs w:val="21"/>
              </w:rPr>
              <w:t>客房数在100间以上，以及设置于地下、半地下客房数在50间以上，或者建筑面积在3000平方米以上的旅馆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630" w:right="0" w:hanging="630" w:hangingChars="300"/>
              <w:rPr>
                <w:rFonts w:hint="default"/>
                <w:szCs w:val="21"/>
              </w:rPr>
            </w:pPr>
            <w:r>
              <w:rPr>
                <w:rFonts w:hint="default"/>
                <w:szCs w:val="21"/>
              </w:rPr>
              <w:t xml:space="preserve">□ 1. 2 </w:t>
            </w:r>
            <w:r>
              <w:rPr>
                <w:rFonts w:hint="eastAsia"/>
                <w:szCs w:val="21"/>
              </w:rPr>
              <w:t>建筑面积在3000平方米以上，以及设置于地下、半地下建筑面积在500平方米以上，且室内经营可燃商品的商场、集贸市场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630" w:right="0" w:hanging="630" w:hangingChars="300"/>
              <w:rPr>
                <w:rFonts w:hint="default"/>
                <w:szCs w:val="21"/>
              </w:rPr>
            </w:pPr>
            <w:r>
              <w:rPr>
                <w:rFonts w:hint="default"/>
                <w:szCs w:val="21"/>
              </w:rPr>
              <w:t xml:space="preserve">□ 1. 3 </w:t>
            </w:r>
            <w:r>
              <w:rPr>
                <w:rFonts w:hint="eastAsia"/>
                <w:szCs w:val="21"/>
              </w:rPr>
              <w:t>任一层面积在1500平方米以上或者总建筑面积在3000平方米以上的不具有娱乐功能的餐饮场所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630" w:right="0" w:hanging="630" w:hangingChars="300"/>
              <w:rPr>
                <w:rFonts w:hint="default"/>
                <w:szCs w:val="21"/>
              </w:rPr>
            </w:pPr>
            <w:r>
              <w:rPr>
                <w:rFonts w:hint="default"/>
                <w:szCs w:val="21"/>
              </w:rPr>
              <w:t xml:space="preserve">□ 1. 4 </w:t>
            </w:r>
            <w:r>
              <w:rPr>
                <w:rFonts w:hint="eastAsia"/>
                <w:szCs w:val="21"/>
              </w:rPr>
              <w:t>建筑面积在3000平方米以上的客运车站候车室、客运码头候船厅、民用机场航站楼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630" w:right="0" w:hanging="630" w:hangingChars="300"/>
              <w:rPr>
                <w:rFonts w:hint="default"/>
                <w:szCs w:val="21"/>
              </w:rPr>
            </w:pPr>
            <w:r>
              <w:rPr>
                <w:rFonts w:hint="default"/>
                <w:szCs w:val="21"/>
              </w:rPr>
              <w:t xml:space="preserve">□ 1. 5 </w:t>
            </w:r>
            <w:r>
              <w:rPr>
                <w:rFonts w:hint="eastAsia"/>
                <w:szCs w:val="21"/>
              </w:rPr>
              <w:t>观众席在20000座以上的公共体育场、观众席在3000座以上的公共体育馆，座位数大于2000个的公共会堂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1. 6 </w:t>
            </w:r>
            <w:r>
              <w:rPr>
                <w:rFonts w:hint="eastAsia"/>
                <w:szCs w:val="21"/>
              </w:rPr>
              <w:t>建筑面积在500平方米以上的公共娱乐场所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center"/>
          </w:tcPr>
          <w:p>
            <w:pPr>
              <w:keepNext w:val="0"/>
              <w:keepLines w:val="0"/>
              <w:suppressLineNumbers w:val="0"/>
              <w:spacing w:before="0" w:beforeAutospacing="0" w:after="0" w:afterAutospacing="0" w:line="288" w:lineRule="auto"/>
              <w:ind w:left="0" w:right="0"/>
              <w:rPr>
                <w:rFonts w:hint="default"/>
                <w:szCs w:val="21"/>
              </w:rPr>
            </w:pPr>
            <w:r>
              <w:rPr>
                <w:rFonts w:hint="default"/>
                <w:szCs w:val="21"/>
              </w:rPr>
              <w:t>□ 2、</w:t>
            </w:r>
            <w:r>
              <w:rPr>
                <w:rFonts w:hint="eastAsia"/>
                <w:szCs w:val="21"/>
              </w:rPr>
              <w:t>医院、养老机构和学校、托儿所、幼儿园</w:t>
            </w: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2. 1 </w:t>
            </w:r>
            <w:r>
              <w:rPr>
                <w:rFonts w:hint="eastAsia"/>
                <w:szCs w:val="21"/>
              </w:rPr>
              <w:t>床位数在100张以上的医院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2. 2 </w:t>
            </w:r>
            <w:r>
              <w:rPr>
                <w:rFonts w:hint="eastAsia"/>
                <w:szCs w:val="21"/>
              </w:rPr>
              <w:t>老人住宿床位在50张以上的养老机构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2. 3 </w:t>
            </w:r>
            <w:r>
              <w:rPr>
                <w:rFonts w:hint="eastAsia"/>
                <w:szCs w:val="21"/>
              </w:rPr>
              <w:t>有4个班以上的托儿所、有5个班以上的幼儿园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2. 4 </w:t>
            </w:r>
            <w:r>
              <w:rPr>
                <w:rFonts w:hint="eastAsia"/>
                <w:szCs w:val="21"/>
              </w:rPr>
              <w:t>学生床位在100张以上的小学学校，学生床位在200张以上的其他学校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2. </w:t>
            </w:r>
            <w:r>
              <w:rPr>
                <w:rFonts w:hint="eastAsia"/>
                <w:szCs w:val="21"/>
                <w:lang w:val="en-US" w:eastAsia="zh-CN"/>
              </w:rPr>
              <w:t>5</w:t>
            </w:r>
            <w:r>
              <w:rPr>
                <w:rFonts w:hint="default"/>
                <w:szCs w:val="21"/>
              </w:rPr>
              <w:t xml:space="preserve"> </w:t>
            </w:r>
            <w:r>
              <w:rPr>
                <w:rFonts w:hint="eastAsia"/>
                <w:szCs w:val="21"/>
                <w:lang w:val="en-US" w:eastAsia="zh-CN"/>
              </w:rPr>
              <w:t xml:space="preserve"> </w:t>
            </w:r>
            <w:r>
              <w:rPr>
                <w:rFonts w:hint="eastAsia"/>
                <w:szCs w:val="21"/>
              </w:rPr>
              <w:t>200人以上的非寄宿制特殊教育学校，1000人以上的其他非寄宿制学校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center"/>
          </w:tcPr>
          <w:p>
            <w:pPr>
              <w:keepNext w:val="0"/>
              <w:keepLines w:val="0"/>
              <w:suppressLineNumbers w:val="0"/>
              <w:spacing w:before="0" w:beforeAutospacing="0" w:after="0" w:afterAutospacing="0" w:line="480" w:lineRule="auto"/>
              <w:ind w:left="0" w:right="0"/>
              <w:rPr>
                <w:rFonts w:hint="default"/>
                <w:szCs w:val="21"/>
              </w:rPr>
            </w:pPr>
            <w:r>
              <w:rPr>
                <w:rFonts w:hint="default"/>
                <w:szCs w:val="21"/>
              </w:rPr>
              <w:t>□ 3、国家机关</w:t>
            </w: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3. 1 </w:t>
            </w:r>
            <w:r>
              <w:rPr>
                <w:rFonts w:hint="eastAsia"/>
                <w:szCs w:val="21"/>
              </w:rPr>
              <w:t>县级以上党委、人大、政府、政协机关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3. 2 </w:t>
            </w:r>
            <w:r>
              <w:rPr>
                <w:rFonts w:hint="eastAsia"/>
                <w:szCs w:val="21"/>
              </w:rPr>
              <w:t>县级以上监察委员会、人民法院和人民检察院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center"/>
          </w:tcPr>
          <w:p>
            <w:pPr>
              <w:keepNext w:val="0"/>
              <w:keepLines w:val="0"/>
              <w:suppressLineNumbers w:val="0"/>
              <w:spacing w:before="0" w:beforeAutospacing="0" w:after="0" w:afterAutospacing="0"/>
              <w:ind w:left="0" w:right="0"/>
              <w:rPr>
                <w:rFonts w:hint="default"/>
                <w:szCs w:val="21"/>
              </w:rPr>
            </w:pPr>
            <w:r>
              <w:rPr>
                <w:rFonts w:hint="default"/>
                <w:szCs w:val="21"/>
              </w:rPr>
              <w:t>□ 4、</w:t>
            </w:r>
            <w:r>
              <w:rPr>
                <w:rFonts w:hint="eastAsia"/>
                <w:szCs w:val="21"/>
              </w:rPr>
              <w:t>广播电视台和县级以上邮政、通信枢纽、数据中心</w:t>
            </w: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4 .1 </w:t>
            </w:r>
            <w:r>
              <w:rPr>
                <w:rFonts w:hint="eastAsia"/>
                <w:szCs w:val="21"/>
              </w:rPr>
              <w:t>广播电视台和县级以上邮政、通信枢纽、数据中心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center"/>
          </w:tcPr>
          <w:p>
            <w:pPr>
              <w:keepNext w:val="0"/>
              <w:keepLines w:val="0"/>
              <w:suppressLineNumbers w:val="0"/>
              <w:spacing w:before="0" w:beforeAutospacing="0" w:after="0" w:afterAutospacing="0"/>
              <w:ind w:left="0" w:right="0"/>
              <w:rPr>
                <w:rFonts w:hint="default"/>
                <w:szCs w:val="21"/>
              </w:rPr>
            </w:pPr>
            <w:r>
              <w:rPr>
                <w:rFonts w:hint="default"/>
                <w:szCs w:val="21"/>
              </w:rPr>
              <w:t>□ 5、</w:t>
            </w:r>
            <w:r>
              <w:rPr>
                <w:rFonts w:hint="eastAsia"/>
                <w:szCs w:val="21"/>
              </w:rPr>
              <w:t>公共图书馆、展览馆、博物馆、档案馆，具有火灾危险性的文物保护单位，宗教活动场所</w:t>
            </w: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5. 1 </w:t>
            </w:r>
            <w:r>
              <w:rPr>
                <w:rFonts w:hint="eastAsia"/>
                <w:szCs w:val="21"/>
              </w:rPr>
              <w:t>藏书50万册以上的公共图书馆，展览面积在10000平方米以上的展览馆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5. 2 </w:t>
            </w:r>
            <w:r>
              <w:rPr>
                <w:rFonts w:hint="eastAsia"/>
                <w:szCs w:val="21"/>
              </w:rPr>
              <w:t>三级以上博物馆，国家档案馆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line="312" w:lineRule="auto"/>
              <w:ind w:left="0" w:right="0"/>
              <w:jc w:val="both"/>
              <w:rPr>
                <w:rFonts w:hint="default"/>
                <w:szCs w:val="21"/>
              </w:rPr>
            </w:pPr>
            <w:r>
              <w:rPr>
                <w:rFonts w:hint="default"/>
                <w:szCs w:val="21"/>
              </w:rPr>
              <w:t xml:space="preserve">□ </w:t>
            </w:r>
            <w:r>
              <w:rPr>
                <w:rFonts w:hint="eastAsia"/>
                <w:szCs w:val="21"/>
                <w:lang w:val="en-US" w:eastAsia="zh-CN"/>
              </w:rPr>
              <w:t>5</w:t>
            </w:r>
            <w:r>
              <w:rPr>
                <w:rFonts w:hint="default"/>
                <w:szCs w:val="21"/>
              </w:rPr>
              <w:t xml:space="preserve">. </w:t>
            </w:r>
            <w:r>
              <w:rPr>
                <w:rFonts w:hint="eastAsia"/>
                <w:szCs w:val="21"/>
                <w:lang w:val="en-US" w:eastAsia="zh-CN"/>
              </w:rPr>
              <w:t>3</w:t>
            </w:r>
            <w:r>
              <w:rPr>
                <w:rFonts w:hint="default"/>
                <w:szCs w:val="21"/>
              </w:rPr>
              <w:t xml:space="preserve"> </w:t>
            </w:r>
            <w:r>
              <w:rPr>
                <w:rFonts w:hint="eastAsia"/>
                <w:szCs w:val="21"/>
              </w:rPr>
              <w:t>具有火灾危险性的省级以上文物保护单位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center"/>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line="312" w:lineRule="auto"/>
              <w:ind w:left="630" w:right="0" w:hanging="630" w:hangingChars="300"/>
              <w:jc w:val="both"/>
              <w:rPr>
                <w:rFonts w:hint="default"/>
                <w:szCs w:val="21"/>
              </w:rPr>
            </w:pPr>
            <w:r>
              <w:rPr>
                <w:rFonts w:hint="default"/>
                <w:szCs w:val="21"/>
              </w:rPr>
              <w:t xml:space="preserve">□ </w:t>
            </w:r>
            <w:r>
              <w:rPr>
                <w:rFonts w:hint="eastAsia"/>
                <w:szCs w:val="21"/>
                <w:lang w:val="en-US" w:eastAsia="zh-CN"/>
              </w:rPr>
              <w:t>5</w:t>
            </w:r>
            <w:r>
              <w:rPr>
                <w:rFonts w:hint="default"/>
                <w:szCs w:val="21"/>
              </w:rPr>
              <w:t xml:space="preserve"> .</w:t>
            </w:r>
            <w:r>
              <w:rPr>
                <w:rFonts w:hint="eastAsia"/>
                <w:szCs w:val="21"/>
                <w:lang w:val="en-US" w:eastAsia="zh-CN"/>
              </w:rPr>
              <w:t>4</w:t>
            </w:r>
            <w:r>
              <w:rPr>
                <w:rFonts w:hint="default"/>
                <w:szCs w:val="21"/>
              </w:rPr>
              <w:t xml:space="preserve"> </w:t>
            </w:r>
            <w:r>
              <w:rPr>
                <w:rFonts w:hint="eastAsia"/>
                <w:szCs w:val="21"/>
              </w:rPr>
              <w:t>宗教教职人员在50人以上或者建筑面积在5000平方米以上，且属于县级以上文物保护单位的宗教活动场所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center"/>
          </w:tcPr>
          <w:p>
            <w:pPr>
              <w:keepNext w:val="0"/>
              <w:keepLines w:val="0"/>
              <w:suppressLineNumbers w:val="0"/>
              <w:spacing w:before="0" w:beforeAutospacing="0" w:after="0" w:afterAutospacing="0"/>
              <w:ind w:left="420" w:right="0" w:hanging="420" w:hangingChars="200"/>
              <w:rPr>
                <w:rFonts w:hint="default"/>
                <w:szCs w:val="21"/>
              </w:rPr>
            </w:pPr>
            <w:r>
              <w:rPr>
                <w:rFonts w:hint="default"/>
                <w:szCs w:val="21"/>
              </w:rPr>
              <w:t xml:space="preserve">□ </w:t>
            </w:r>
            <w:r>
              <w:rPr>
                <w:rFonts w:hint="eastAsia"/>
                <w:szCs w:val="21"/>
                <w:lang w:val="en-US" w:eastAsia="zh-CN"/>
              </w:rPr>
              <w:t>6</w:t>
            </w:r>
            <w:r>
              <w:rPr>
                <w:rFonts w:hint="default"/>
                <w:szCs w:val="21"/>
              </w:rPr>
              <w:t>、</w:t>
            </w:r>
            <w:r>
              <w:rPr>
                <w:rFonts w:hint="eastAsia"/>
                <w:szCs w:val="21"/>
              </w:rPr>
              <w:t>发电厂和电网经营企业、储能电站</w:t>
            </w: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w:t>
            </w:r>
            <w:r>
              <w:rPr>
                <w:rFonts w:hint="eastAsia"/>
                <w:szCs w:val="21"/>
                <w:lang w:val="en-US" w:eastAsia="zh-CN"/>
              </w:rPr>
              <w:t>6</w:t>
            </w:r>
            <w:r>
              <w:rPr>
                <w:rFonts w:hint="default"/>
                <w:szCs w:val="21"/>
              </w:rPr>
              <w:t xml:space="preserve">. 1 </w:t>
            </w:r>
            <w:r>
              <w:rPr>
                <w:rFonts w:hint="eastAsia"/>
                <w:szCs w:val="21"/>
              </w:rPr>
              <w:t>大型发电厂（站），500KV及以上变电站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w:t>
            </w:r>
            <w:r>
              <w:rPr>
                <w:rFonts w:hint="eastAsia"/>
                <w:szCs w:val="21"/>
                <w:lang w:val="en-US" w:eastAsia="zh-CN"/>
              </w:rPr>
              <w:t>6</w:t>
            </w:r>
            <w:r>
              <w:rPr>
                <w:rFonts w:hint="default"/>
                <w:szCs w:val="21"/>
              </w:rPr>
              <w:t xml:space="preserve">. 2 </w:t>
            </w:r>
            <w:r>
              <w:rPr>
                <w:rFonts w:hint="eastAsia"/>
                <w:szCs w:val="21"/>
              </w:rPr>
              <w:t>县级以上电网经营企业、承担电力调度功能的供电单位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eastAsia="宋体"/>
                <w:szCs w:val="21"/>
                <w:lang w:val="en-US" w:eastAsia="zh-CN"/>
              </w:rPr>
            </w:pPr>
            <w:r>
              <w:rPr>
                <w:rFonts w:hint="default"/>
                <w:szCs w:val="21"/>
              </w:rPr>
              <w:t xml:space="preserve">□ </w:t>
            </w:r>
            <w:r>
              <w:rPr>
                <w:rFonts w:hint="eastAsia"/>
                <w:szCs w:val="21"/>
                <w:lang w:val="en-US" w:eastAsia="zh-CN"/>
              </w:rPr>
              <w:t>6</w:t>
            </w:r>
            <w:r>
              <w:rPr>
                <w:rFonts w:hint="default"/>
                <w:szCs w:val="21"/>
              </w:rPr>
              <w:t xml:space="preserve">. </w:t>
            </w:r>
            <w:r>
              <w:rPr>
                <w:rFonts w:hint="eastAsia"/>
                <w:szCs w:val="21"/>
                <w:lang w:val="en-US" w:eastAsia="zh-CN"/>
              </w:rPr>
              <w:t>3 功率30MW或者容量30MW·h以上的电化学储能电站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restart"/>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w:t>
            </w:r>
            <w:r>
              <w:rPr>
                <w:rFonts w:hint="eastAsia"/>
                <w:szCs w:val="21"/>
                <w:lang w:val="en-US" w:eastAsia="zh-CN"/>
              </w:rPr>
              <w:t>7</w:t>
            </w:r>
            <w:r>
              <w:rPr>
                <w:rFonts w:hint="default"/>
                <w:szCs w:val="21"/>
              </w:rPr>
              <w:t>、</w:t>
            </w:r>
            <w:r>
              <w:rPr>
                <w:rFonts w:hint="eastAsia"/>
                <w:szCs w:val="21"/>
              </w:rPr>
              <w:t>易燃易爆化学物品的生产、充装、储存、供应、销售单位</w:t>
            </w: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w:t>
            </w:r>
            <w:r>
              <w:rPr>
                <w:rFonts w:hint="eastAsia"/>
                <w:szCs w:val="21"/>
                <w:lang w:val="en-US" w:eastAsia="zh-CN"/>
              </w:rPr>
              <w:t>7</w:t>
            </w:r>
            <w:r>
              <w:rPr>
                <w:rFonts w:hint="default"/>
                <w:szCs w:val="21"/>
              </w:rPr>
              <w:t xml:space="preserve">. 1 </w:t>
            </w:r>
            <w:r>
              <w:rPr>
                <w:rFonts w:hint="eastAsia"/>
                <w:szCs w:val="21"/>
              </w:rPr>
              <w:t>生产、储存易燃易爆化学物品的工厂、专用仓库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w:t>
            </w:r>
            <w:r>
              <w:rPr>
                <w:rFonts w:hint="eastAsia"/>
                <w:szCs w:val="21"/>
                <w:lang w:val="en-US" w:eastAsia="zh-CN"/>
              </w:rPr>
              <w:t>7</w:t>
            </w:r>
            <w:r>
              <w:rPr>
                <w:rFonts w:hint="default"/>
                <w:szCs w:val="21"/>
              </w:rPr>
              <w:t xml:space="preserve">. 2 </w:t>
            </w:r>
            <w:r>
              <w:rPr>
                <w:rFonts w:hint="eastAsia"/>
                <w:spacing w:val="-4"/>
                <w:szCs w:val="21"/>
              </w:rPr>
              <w:t>易燃易爆气体和液体的充装站、调压站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w:t>
            </w:r>
            <w:r>
              <w:rPr>
                <w:rFonts w:hint="eastAsia"/>
                <w:szCs w:val="21"/>
                <w:lang w:val="en-US" w:eastAsia="zh-CN"/>
              </w:rPr>
              <w:t>7</w:t>
            </w:r>
            <w:r>
              <w:rPr>
                <w:rFonts w:hint="default"/>
                <w:szCs w:val="21"/>
              </w:rPr>
              <w:t xml:space="preserve">. 3 </w:t>
            </w:r>
            <w:r>
              <w:rPr>
                <w:rFonts w:hint="eastAsia"/>
                <w:szCs w:val="21"/>
              </w:rPr>
              <w:t>营业性汽车加油加气加氢站、液化石油气供应站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default"/>
                <w:szCs w:val="21"/>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tcBorders>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xml:space="preserve">□ </w:t>
            </w:r>
            <w:r>
              <w:rPr>
                <w:rFonts w:hint="eastAsia"/>
                <w:szCs w:val="21"/>
                <w:lang w:val="en-US" w:eastAsia="zh-CN"/>
              </w:rPr>
              <w:t>7</w:t>
            </w:r>
            <w:r>
              <w:rPr>
                <w:rFonts w:hint="default"/>
                <w:szCs w:val="21"/>
              </w:rPr>
              <w:t xml:space="preserve">. 4 </w:t>
            </w:r>
            <w:r>
              <w:rPr>
                <w:rFonts w:hint="eastAsia"/>
                <w:szCs w:val="21"/>
              </w:rPr>
              <w:t>建筑面积在300平方米以上的经营易燃易爆化学物品的商店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default" w:ascii="Times New Roman" w:hAnsi="Times New Roman" w:eastAsia="宋体" w:cs="Times New Roman"/>
                <w:szCs w:val="21"/>
              </w:rPr>
              <w:t>、</w:t>
            </w:r>
            <w:r>
              <w:rPr>
                <w:rFonts w:hint="eastAsia" w:ascii="Times New Roman" w:hAnsi="Times New Roman" w:eastAsia="宋体" w:cs="Times New Roman"/>
                <w:szCs w:val="21"/>
              </w:rPr>
              <w:t>生产、加工企业</w:t>
            </w:r>
          </w:p>
        </w:tc>
        <w:tc>
          <w:tcPr>
            <w:tcW w:w="7379" w:type="dxa"/>
            <w:gridSpan w:val="6"/>
            <w:noWrap w:val="0"/>
            <w:vAlign w:val="center"/>
          </w:tcPr>
          <w:p>
            <w:pPr>
              <w:keepNext w:val="0"/>
              <w:keepLines w:val="0"/>
              <w:suppressLineNumbers w:val="0"/>
              <w:spacing w:before="0" w:beforeAutospacing="0" w:after="0" w:afterAutospacing="0"/>
              <w:ind w:left="630" w:right="0" w:hanging="630" w:hangingChars="300"/>
              <w:jc w:val="both"/>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default" w:ascii="Times New Roman" w:hAnsi="Times New Roman" w:eastAsia="宋体" w:cs="Times New Roman"/>
                <w:szCs w:val="21"/>
              </w:rPr>
              <w:t>. 1</w:t>
            </w:r>
            <w:r>
              <w:rPr>
                <w:rFonts w:hint="eastAsia" w:cs="Times New Roman"/>
                <w:szCs w:val="21"/>
                <w:lang w:val="en-US" w:eastAsia="zh-CN"/>
              </w:rPr>
              <w:t xml:space="preserve"> </w:t>
            </w:r>
            <w:r>
              <w:rPr>
                <w:rFonts w:hint="eastAsia" w:ascii="Times New Roman" w:hAnsi="Times New Roman" w:eastAsia="宋体" w:cs="Times New Roman"/>
                <w:szCs w:val="21"/>
              </w:rPr>
              <w:t>企</w:t>
            </w:r>
            <w:r>
              <w:rPr>
                <w:rFonts w:hint="eastAsia" w:ascii="Times New Roman" w:hAnsi="Times New Roman" w:eastAsia="宋体" w:cs="Times New Roman"/>
                <w:szCs w:val="21"/>
                <w:lang w:val="en-US" w:eastAsia="zh-CN"/>
              </w:rPr>
              <w:t>业员工总数在1000人以上，或者同一建筑在同一时间的使用人数在300</w:t>
            </w:r>
            <w:r>
              <w:rPr>
                <w:rFonts w:hint="eastAsia" w:ascii="Times New Roman" w:hAnsi="Times New Roman" w:eastAsia="宋体" w:cs="Times New Roman"/>
                <w:szCs w:val="21"/>
              </w:rPr>
              <w:t>人以上的服装、鞋帽、玩具、木制品、家具、塑料、食品加工和纺织、印染、电子、印刷等劳动密集型企业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noWrap w:val="0"/>
            <w:vAlign w:val="center"/>
          </w:tcPr>
          <w:p>
            <w:pPr>
              <w:keepNext w:val="0"/>
              <w:keepLines w:val="0"/>
              <w:suppressLineNumbers w:val="0"/>
              <w:spacing w:before="0" w:beforeAutospacing="0" w:after="0" w:afterAutospacing="0"/>
              <w:ind w:left="0" w:right="0"/>
              <w:jc w:val="both"/>
              <w:rPr>
                <w:rFonts w:hint="default"/>
                <w:sz w:val="36"/>
                <w:szCs w:val="36"/>
              </w:rPr>
            </w:pPr>
            <w:r>
              <w:rPr>
                <w:rFonts w:hint="default"/>
                <w:szCs w:val="21"/>
              </w:rPr>
              <w:t xml:space="preserve">□ </w:t>
            </w:r>
            <w:r>
              <w:rPr>
                <w:rFonts w:hint="eastAsia"/>
                <w:szCs w:val="21"/>
                <w:lang w:val="en-US" w:eastAsia="zh-CN"/>
              </w:rPr>
              <w:t>9</w:t>
            </w:r>
            <w:r>
              <w:rPr>
                <w:rFonts w:hint="default"/>
                <w:szCs w:val="21"/>
              </w:rPr>
              <w:t>、</w:t>
            </w:r>
            <w:r>
              <w:rPr>
                <w:rFonts w:hint="eastAsia"/>
                <w:szCs w:val="21"/>
              </w:rPr>
              <w:t>国家和省级科研单位、国家实验室、全国重点实验室</w:t>
            </w: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 w:val="36"/>
                <w:szCs w:val="36"/>
              </w:rPr>
            </w:pPr>
            <w:r>
              <w:rPr>
                <w:rFonts w:hint="default"/>
                <w:szCs w:val="21"/>
              </w:rPr>
              <w:t xml:space="preserve">□ </w:t>
            </w:r>
            <w:r>
              <w:rPr>
                <w:rFonts w:hint="eastAsia"/>
                <w:szCs w:val="21"/>
                <w:lang w:val="en-US" w:eastAsia="zh-CN"/>
              </w:rPr>
              <w:t>9</w:t>
            </w:r>
            <w:r>
              <w:rPr>
                <w:rFonts w:hint="default"/>
                <w:szCs w:val="21"/>
              </w:rPr>
              <w:t>.</w:t>
            </w:r>
            <w:r>
              <w:rPr>
                <w:rFonts w:hint="eastAsia"/>
                <w:szCs w:val="21"/>
                <w:lang w:val="en-US" w:eastAsia="zh-CN"/>
              </w:rPr>
              <w:t xml:space="preserve"> </w:t>
            </w:r>
            <w:r>
              <w:rPr>
                <w:rFonts w:hint="default"/>
                <w:szCs w:val="21"/>
              </w:rPr>
              <w:t>1</w:t>
            </w:r>
            <w:r>
              <w:rPr>
                <w:rFonts w:hint="eastAsia"/>
                <w:szCs w:val="21"/>
              </w:rPr>
              <w:t>国家和省级科研单位、国家实验室、全国重点实验室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restart"/>
            <w:noWrap w:val="0"/>
            <w:vAlign w:val="top"/>
          </w:tcPr>
          <w:p>
            <w:pPr>
              <w:keepNext w:val="0"/>
              <w:keepLines w:val="0"/>
              <w:suppressLineNumbers w:val="0"/>
              <w:spacing w:before="0" w:beforeAutospacing="0" w:after="0" w:afterAutospacing="0"/>
              <w:ind w:left="0" w:right="0"/>
              <w:rPr>
                <w:rFonts w:hint="default"/>
                <w:szCs w:val="21"/>
              </w:rPr>
            </w:pPr>
            <w:r>
              <w:rPr>
                <w:rFonts w:hint="default"/>
                <w:szCs w:val="21"/>
              </w:rPr>
              <w:t xml:space="preserve">□ </w:t>
            </w:r>
            <w:r>
              <w:rPr>
                <w:rFonts w:hint="eastAsia"/>
                <w:szCs w:val="21"/>
                <w:lang w:val="en-US" w:eastAsia="zh-CN"/>
              </w:rPr>
              <w:t>10</w:t>
            </w:r>
            <w:r>
              <w:rPr>
                <w:rFonts w:hint="default"/>
                <w:szCs w:val="21"/>
              </w:rPr>
              <w:t>、</w:t>
            </w:r>
            <w:r>
              <w:rPr>
                <w:rFonts w:hint="eastAsia"/>
                <w:szCs w:val="21"/>
              </w:rPr>
              <w:t>其他发生火灾可能性较大以及一旦发生火灾可能造成人身重大伤亡或者财产重大损失的单位和场所</w:t>
            </w:r>
          </w:p>
          <w:p>
            <w:pPr>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 w:val="36"/>
                <w:szCs w:val="36"/>
              </w:rPr>
            </w:pPr>
          </w:p>
        </w:tc>
        <w:tc>
          <w:tcPr>
            <w:tcW w:w="7379" w:type="dxa"/>
            <w:gridSpan w:val="6"/>
            <w:noWrap w:val="0"/>
            <w:vAlign w:val="center"/>
          </w:tcPr>
          <w:p>
            <w:pPr>
              <w:keepNext w:val="0"/>
              <w:keepLines w:val="0"/>
              <w:suppressLineNumbers w:val="0"/>
              <w:spacing w:before="0" w:beforeAutospacing="0" w:after="0" w:afterAutospacing="0"/>
              <w:ind w:left="630" w:right="0" w:hanging="630" w:hangingChars="300"/>
              <w:jc w:val="both"/>
              <w:rPr>
                <w:rFonts w:hint="default"/>
                <w:sz w:val="36"/>
                <w:szCs w:val="36"/>
              </w:rPr>
            </w:pPr>
            <w:r>
              <w:rPr>
                <w:rFonts w:hint="default"/>
                <w:szCs w:val="21"/>
              </w:rPr>
              <w:t>□ 1</w:t>
            </w:r>
            <w:r>
              <w:rPr>
                <w:rFonts w:hint="eastAsia"/>
                <w:szCs w:val="21"/>
                <w:lang w:val="en-US" w:eastAsia="zh-CN"/>
              </w:rPr>
              <w:t>0</w:t>
            </w:r>
            <w:r>
              <w:rPr>
                <w:rFonts w:hint="default"/>
                <w:szCs w:val="21"/>
              </w:rPr>
              <w:t>. 1</w:t>
            </w:r>
            <w:r>
              <w:rPr>
                <w:rFonts w:hint="eastAsia"/>
                <w:szCs w:val="21"/>
              </w:rPr>
              <w:t>停车数量在300辆以上或者建筑面积大于10000平方米独立建造的经营性汽车库，车位数大于60个或者建筑面积大于3000平方米的修车库，停车数量在200辆以上的公交车、客车停车场；室内集中布置充电设备且建筑面积在1000平方米以上的电动汽车充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 w:val="36"/>
                <w:szCs w:val="36"/>
              </w:rPr>
            </w:pPr>
            <w:r>
              <w:rPr>
                <w:rFonts w:hint="default"/>
                <w:szCs w:val="21"/>
              </w:rPr>
              <w:t>□ 1</w:t>
            </w:r>
            <w:r>
              <w:rPr>
                <w:rFonts w:hint="eastAsia"/>
                <w:szCs w:val="21"/>
                <w:lang w:val="en-US" w:eastAsia="zh-CN"/>
              </w:rPr>
              <w:t>0</w:t>
            </w:r>
            <w:r>
              <w:rPr>
                <w:rFonts w:hint="default"/>
                <w:szCs w:val="21"/>
              </w:rPr>
              <w:t>. 2</w:t>
            </w:r>
            <w:r>
              <w:rPr>
                <w:rFonts w:hint="eastAsia"/>
                <w:szCs w:val="21"/>
              </w:rPr>
              <w:t>省级以上司法部门直属的监狱和行政戒毒场所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 w:val="36"/>
                <w:szCs w:val="36"/>
              </w:rPr>
            </w:pPr>
            <w:r>
              <w:rPr>
                <w:rFonts w:hint="default"/>
                <w:szCs w:val="21"/>
              </w:rPr>
              <w:t>□ 1</w:t>
            </w:r>
            <w:r>
              <w:rPr>
                <w:rFonts w:hint="eastAsia"/>
                <w:szCs w:val="21"/>
                <w:lang w:val="en-US" w:eastAsia="zh-CN"/>
              </w:rPr>
              <w:t>0</w:t>
            </w:r>
            <w:r>
              <w:rPr>
                <w:rFonts w:hint="default"/>
                <w:szCs w:val="21"/>
              </w:rPr>
              <w:t>. 3</w:t>
            </w:r>
            <w:r>
              <w:rPr>
                <w:rFonts w:hint="eastAsia"/>
                <w:szCs w:val="21"/>
              </w:rPr>
              <w:t>固定资产（建筑、设备、原材料等）价值在2亿元以上的工业企业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 w:val="36"/>
                <w:szCs w:val="36"/>
              </w:rPr>
            </w:pPr>
            <w:r>
              <w:rPr>
                <w:rFonts w:hint="default"/>
                <w:szCs w:val="21"/>
              </w:rPr>
              <w:t>□ 1</w:t>
            </w:r>
            <w:r>
              <w:rPr>
                <w:rFonts w:hint="eastAsia"/>
                <w:szCs w:val="21"/>
                <w:lang w:val="en-US" w:eastAsia="zh-CN"/>
              </w:rPr>
              <w:t>0</w:t>
            </w:r>
            <w:r>
              <w:rPr>
                <w:rFonts w:hint="default"/>
                <w:szCs w:val="21"/>
              </w:rPr>
              <w:t>. 4</w:t>
            </w:r>
            <w:r>
              <w:rPr>
                <w:rFonts w:hint="eastAsia"/>
                <w:szCs w:val="21"/>
              </w:rPr>
              <w:t>央行、商业银行的分行级以上分支机构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 w:val="36"/>
                <w:szCs w:val="36"/>
              </w:rPr>
            </w:pPr>
            <w:r>
              <w:rPr>
                <w:rFonts w:hint="default"/>
                <w:szCs w:val="21"/>
              </w:rPr>
              <w:t>□ 1</w:t>
            </w:r>
            <w:r>
              <w:rPr>
                <w:rFonts w:hint="eastAsia"/>
                <w:szCs w:val="21"/>
                <w:lang w:val="en-US" w:eastAsia="zh-CN"/>
              </w:rPr>
              <w:t>0</w:t>
            </w:r>
            <w:r>
              <w:rPr>
                <w:rFonts w:hint="default"/>
                <w:szCs w:val="21"/>
              </w:rPr>
              <w:t>. 5</w:t>
            </w:r>
            <w:r>
              <w:rPr>
                <w:rFonts w:hint="eastAsia"/>
                <w:szCs w:val="21"/>
                <w:lang w:val="en-US" w:eastAsia="zh-CN"/>
              </w:rPr>
              <w:t xml:space="preserve"> </w:t>
            </w:r>
            <w:r>
              <w:rPr>
                <w:rFonts w:hint="eastAsia"/>
                <w:szCs w:val="21"/>
              </w:rPr>
              <w:t>4A级以上旅游景区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1</w:t>
            </w:r>
            <w:r>
              <w:rPr>
                <w:rFonts w:hint="eastAsia"/>
                <w:szCs w:val="21"/>
                <w:lang w:val="en-US" w:eastAsia="zh-CN"/>
              </w:rPr>
              <w:t>0</w:t>
            </w:r>
            <w:r>
              <w:rPr>
                <w:rFonts w:hint="default"/>
                <w:szCs w:val="21"/>
              </w:rPr>
              <w:t>. 6</w:t>
            </w:r>
            <w:r>
              <w:rPr>
                <w:rFonts w:hint="eastAsia"/>
                <w:szCs w:val="21"/>
              </w:rPr>
              <w:t>建筑面积在50000平方米以上的大型商业综合体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dxa"/>
            <w:vMerge w:val="continue"/>
            <w:tcBorders>
              <w:left w:val="single" w:color="auto" w:sz="4" w:space="0"/>
            </w:tcBorders>
            <w:noWrap w:val="0"/>
            <w:vAlign w:val="top"/>
          </w:tcPr>
          <w:p>
            <w:pPr>
              <w:keepNext w:val="0"/>
              <w:keepLines w:val="0"/>
              <w:suppressLineNumbers w:val="0"/>
              <w:spacing w:before="0" w:beforeAutospacing="0" w:after="0" w:afterAutospacing="0"/>
              <w:ind w:left="0" w:right="0"/>
              <w:rPr>
                <w:rFonts w:hint="default"/>
                <w:sz w:val="36"/>
                <w:szCs w:val="36"/>
              </w:rPr>
            </w:pPr>
          </w:p>
        </w:tc>
        <w:tc>
          <w:tcPr>
            <w:tcW w:w="2342" w:type="dxa"/>
            <w:gridSpan w:val="3"/>
            <w:vMerge w:val="continue"/>
            <w:noWrap w:val="0"/>
            <w:vAlign w:val="top"/>
          </w:tcPr>
          <w:p>
            <w:pPr>
              <w:keepNext w:val="0"/>
              <w:keepLines w:val="0"/>
              <w:suppressLineNumbers w:val="0"/>
              <w:spacing w:before="0" w:beforeAutospacing="0" w:after="0" w:afterAutospacing="0"/>
              <w:ind w:left="0" w:right="0"/>
              <w:rPr>
                <w:rFonts w:hint="default"/>
                <w:szCs w:val="21"/>
              </w:rPr>
            </w:pPr>
          </w:p>
        </w:tc>
        <w:tc>
          <w:tcPr>
            <w:tcW w:w="7379" w:type="dxa"/>
            <w:gridSpan w:val="6"/>
            <w:noWrap w:val="0"/>
            <w:vAlign w:val="center"/>
          </w:tcPr>
          <w:p>
            <w:pPr>
              <w:keepNext w:val="0"/>
              <w:keepLines w:val="0"/>
              <w:suppressLineNumbers w:val="0"/>
              <w:spacing w:before="0" w:beforeAutospacing="0" w:after="0" w:afterAutospacing="0"/>
              <w:ind w:left="0" w:right="0"/>
              <w:jc w:val="both"/>
              <w:rPr>
                <w:rFonts w:hint="default"/>
                <w:szCs w:val="21"/>
              </w:rPr>
            </w:pPr>
            <w:r>
              <w:rPr>
                <w:rFonts w:hint="default"/>
                <w:szCs w:val="21"/>
              </w:rPr>
              <w:t>□ 1</w:t>
            </w:r>
            <w:r>
              <w:rPr>
                <w:rFonts w:hint="eastAsia"/>
                <w:szCs w:val="21"/>
                <w:lang w:val="en-US" w:eastAsia="zh-CN"/>
              </w:rPr>
              <w:t>0</w:t>
            </w:r>
            <w:r>
              <w:rPr>
                <w:rFonts w:hint="default"/>
                <w:szCs w:val="21"/>
              </w:rPr>
              <w:t>. 7</w:t>
            </w:r>
            <w:r>
              <w:rPr>
                <w:rFonts w:hint="eastAsia"/>
                <w:szCs w:val="21"/>
              </w:rPr>
              <w:t>城市轨道交通换乘站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10260" w:type="dxa"/>
            <w:gridSpan w:val="10"/>
            <w:noWrap w:val="0"/>
            <w:vAlign w:val="top"/>
          </w:tcPr>
          <w:p>
            <w:pPr>
              <w:keepNext w:val="0"/>
              <w:keepLines w:val="0"/>
              <w:suppressLineNumbers w:val="0"/>
              <w:spacing w:before="0" w:beforeAutospacing="0" w:after="0" w:afterAutospacing="0"/>
              <w:ind w:left="0" w:right="0" w:firstLine="420" w:firstLineChars="200"/>
              <w:rPr>
                <w:rFonts w:hint="default"/>
                <w:sz w:val="36"/>
                <w:szCs w:val="36"/>
              </w:rPr>
            </w:pPr>
            <w:r>
              <w:rPr>
                <w:rFonts w:hint="eastAsia"/>
                <w:szCs w:val="21"/>
              </w:rPr>
              <w:t>根据《中华人民共和国消防法》《机关、团体、企业、事业单位消防安全管理规定》《四川省消防安全重点单位界定标准（试行）》等法律法规，</w:t>
            </w:r>
            <w:r>
              <w:rPr>
                <w:rFonts w:hint="eastAsia"/>
                <w:szCs w:val="21"/>
                <w:lang w:val="en-US" w:eastAsia="zh-CN"/>
              </w:rPr>
              <w:t>我</w:t>
            </w:r>
            <w:r>
              <w:rPr>
                <w:rFonts w:hint="default"/>
                <w:szCs w:val="21"/>
              </w:rPr>
              <w:t>单位应属消防安全重点单位，现予以登记。</w:t>
            </w:r>
          </w:p>
          <w:p>
            <w:pPr>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Cs w:val="21"/>
              </w:rPr>
            </w:pPr>
          </w:p>
          <w:p>
            <w:pPr>
              <w:keepNext w:val="0"/>
              <w:keepLines w:val="0"/>
              <w:suppressLineNumbers w:val="0"/>
              <w:spacing w:before="0" w:beforeAutospacing="0" w:after="0" w:afterAutospacing="0"/>
              <w:ind w:left="0" w:right="0"/>
              <w:rPr>
                <w:rFonts w:hint="default"/>
                <w:szCs w:val="21"/>
              </w:rPr>
            </w:pPr>
            <w:r>
              <w:rPr>
                <w:rFonts w:hint="default"/>
                <w:szCs w:val="21"/>
              </w:rPr>
              <w:t>法定代表人或主要负责人（签名）</w:t>
            </w:r>
            <w:r>
              <w:rPr>
                <w:rFonts w:hint="eastAsia"/>
                <w:szCs w:val="21"/>
                <w:lang w:val="en-US" w:eastAsia="zh-CN"/>
              </w:rPr>
              <w:t xml:space="preserve">                              </w:t>
            </w:r>
            <w:r>
              <w:rPr>
                <w:rFonts w:hint="default"/>
                <w:szCs w:val="21"/>
              </w:rPr>
              <w:t>单位（盖章）</w:t>
            </w:r>
          </w:p>
          <w:p>
            <w:pPr>
              <w:keepNext w:val="0"/>
              <w:keepLines w:val="0"/>
              <w:suppressLineNumbers w:val="0"/>
              <w:spacing w:before="0" w:beforeAutospacing="0" w:after="0" w:afterAutospacing="0"/>
              <w:ind w:left="0" w:right="0" w:firstLine="4935" w:firstLineChars="2350"/>
              <w:rPr>
                <w:rFonts w:hint="default"/>
                <w:szCs w:val="21"/>
              </w:rPr>
            </w:pPr>
          </w:p>
          <w:p>
            <w:pPr>
              <w:keepNext w:val="0"/>
              <w:keepLines w:val="0"/>
              <w:suppressLineNumbers w:val="0"/>
              <w:spacing w:before="0" w:beforeAutospacing="0" w:after="0" w:afterAutospacing="0"/>
              <w:ind w:left="0" w:right="0"/>
              <w:rPr>
                <w:rFonts w:hint="default"/>
                <w:szCs w:val="21"/>
              </w:rPr>
            </w:pPr>
            <w:r>
              <w:rPr>
                <w:rFonts w:hint="default"/>
                <w:sz w:val="36"/>
                <w:szCs w:val="36"/>
              </w:rPr>
              <w:t xml:space="preserve">                                  </w:t>
            </w:r>
            <w:r>
              <w:rPr>
                <w:rFonts w:hint="default"/>
                <w:szCs w:val="21"/>
              </w:rPr>
              <w:t xml:space="preserve"> 年         月        日</w:t>
            </w:r>
          </w:p>
          <w:p>
            <w:pPr>
              <w:keepNext w:val="0"/>
              <w:keepLines w:val="0"/>
              <w:suppressLineNumbers w:val="0"/>
              <w:spacing w:before="0" w:beforeAutospacing="0" w:after="0" w:afterAutospacing="0"/>
              <w:ind w:left="0" w:right="0"/>
              <w:rPr>
                <w:rFonts w:hint="default"/>
                <w:szCs w:val="21"/>
              </w:rPr>
            </w:pPr>
          </w:p>
        </w:tc>
      </w:tr>
    </w:tbl>
    <w:p>
      <w:pPr>
        <w:rPr>
          <w:szCs w:val="21"/>
        </w:rPr>
      </w:pPr>
    </w:p>
    <w:p>
      <w:pPr>
        <w:rPr>
          <w:szCs w:val="21"/>
        </w:rPr>
      </w:pPr>
      <w:r>
        <w:rPr>
          <w:szCs w:val="21"/>
        </w:rPr>
        <w:t>注：①此表由符合分类标准且具有独立法人或独立经营资格的单位填报。</w:t>
      </w:r>
    </w:p>
    <w:p>
      <w:pPr>
        <w:ind w:firstLine="435"/>
        <w:rPr>
          <w:rFonts w:hint="default"/>
          <w:lang w:val="en-US" w:eastAsia="zh-CN"/>
        </w:rPr>
      </w:pPr>
      <w:r>
        <w:rPr>
          <w:szCs w:val="21"/>
        </w:rPr>
        <w:t>②申报单位在主类栏中选择最核实的一项打“√”在分类栏中所有涉及项均打“√”。</w:t>
      </w:r>
    </w:p>
    <w:sectPr>
      <w:headerReference r:id="rId3" w:type="default"/>
      <w:footerReference r:id="rId4" w:type="default"/>
      <w:pgSz w:w="11906" w:h="16838"/>
      <w:pgMar w:top="2098" w:right="1531" w:bottom="1984"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1616" w:wrap="around" w:vAnchor="text" w:hAnchor="margin" w:xAlign="outside" w:y="1"/>
      <w:ind w:firstLine="280" w:firstLineChars="100"/>
      <w:rPr>
        <w:rStyle w:val="24"/>
        <w:rFonts w:ascii="宋体" w:hAnsi="宋体"/>
        <w:sz w:val="28"/>
        <w:szCs w:val="28"/>
      </w:rPr>
    </w:pPr>
    <w:r>
      <w:rPr>
        <w:rStyle w:val="24"/>
        <w:rFonts w:hint="eastAsia" w:ascii="宋体" w:hAnsi="宋体"/>
        <w:sz w:val="28"/>
        <w:szCs w:val="28"/>
      </w:rPr>
      <w:t xml:space="preserve">— </w:t>
    </w:r>
    <w:r>
      <w:rPr>
        <w:rFonts w:hint="eastAsia" w:ascii="宋体" w:hAnsi="宋体"/>
        <w:sz w:val="28"/>
        <w:szCs w:val="28"/>
      </w:rPr>
      <w:fldChar w:fldCharType="begin"/>
    </w:r>
    <w:r>
      <w:rPr>
        <w:rStyle w:val="24"/>
        <w:rFonts w:hint="eastAsia"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w:t>
    </w:r>
    <w:r>
      <w:rPr>
        <w:rFonts w:hint="eastAsia" w:ascii="宋体" w:hAnsi="宋体"/>
        <w:sz w:val="28"/>
        <w:szCs w:val="28"/>
      </w:rPr>
      <w:fldChar w:fldCharType="end"/>
    </w:r>
    <w:r>
      <w:rPr>
        <w:rStyle w:val="24"/>
        <w:rFonts w:hint="eastAsia" w:ascii="宋体" w:hAnsi="宋体"/>
        <w:sz w:val="28"/>
        <w:szCs w:val="28"/>
      </w:rPr>
      <w:t xml:space="preserve"> —</w:t>
    </w:r>
  </w:p>
  <w:p>
    <w:pPr>
      <w:pStyle w:val="13"/>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8"/>
                              <w:szCs w:val="28"/>
                            </w:rPr>
                          </w:pP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v:fill on="f" focussize="0,0"/>
              <v:stroke on="f"/>
              <v:imagedata o:title=""/>
              <o:lock v:ext="edit" aspectratio="f"/>
              <v:textbox inset="0mm,0mm,0mm,0mm" style="mso-fit-shape-to-text:t;">
                <w:txbxContent>
                  <w:p>
                    <w:pPr>
                      <w:pStyle w:val="13"/>
                      <w:rPr>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ZjQ4ZDQ4NGE5NzMzOTdhYTMyMDYzYmFmOWE2ZmQifQ=="/>
  </w:docVars>
  <w:rsids>
    <w:rsidRoot w:val="007A2A73"/>
    <w:rsid w:val="00000FBE"/>
    <w:rsid w:val="0000124B"/>
    <w:rsid w:val="00002BA4"/>
    <w:rsid w:val="00004AF5"/>
    <w:rsid w:val="00005702"/>
    <w:rsid w:val="00007A04"/>
    <w:rsid w:val="00010025"/>
    <w:rsid w:val="00011B0C"/>
    <w:rsid w:val="00015AA0"/>
    <w:rsid w:val="00016E02"/>
    <w:rsid w:val="00017314"/>
    <w:rsid w:val="00025F2C"/>
    <w:rsid w:val="000326B2"/>
    <w:rsid w:val="00036915"/>
    <w:rsid w:val="00037E80"/>
    <w:rsid w:val="00044069"/>
    <w:rsid w:val="0004546D"/>
    <w:rsid w:val="00053B67"/>
    <w:rsid w:val="0005444A"/>
    <w:rsid w:val="00055C40"/>
    <w:rsid w:val="00062982"/>
    <w:rsid w:val="00067F47"/>
    <w:rsid w:val="00072B48"/>
    <w:rsid w:val="000747E8"/>
    <w:rsid w:val="0008330D"/>
    <w:rsid w:val="0008585F"/>
    <w:rsid w:val="00085D58"/>
    <w:rsid w:val="00087014"/>
    <w:rsid w:val="00091C28"/>
    <w:rsid w:val="00091C90"/>
    <w:rsid w:val="00091DEA"/>
    <w:rsid w:val="000953D8"/>
    <w:rsid w:val="000A16AA"/>
    <w:rsid w:val="000A31F1"/>
    <w:rsid w:val="000A7360"/>
    <w:rsid w:val="000A784B"/>
    <w:rsid w:val="000B20E3"/>
    <w:rsid w:val="000C47B6"/>
    <w:rsid w:val="000C7FAE"/>
    <w:rsid w:val="000D4900"/>
    <w:rsid w:val="000E731E"/>
    <w:rsid w:val="00100737"/>
    <w:rsid w:val="001013AE"/>
    <w:rsid w:val="00101D41"/>
    <w:rsid w:val="00104E85"/>
    <w:rsid w:val="00105D49"/>
    <w:rsid w:val="001062CA"/>
    <w:rsid w:val="00107236"/>
    <w:rsid w:val="00110A5B"/>
    <w:rsid w:val="00112B38"/>
    <w:rsid w:val="0011387B"/>
    <w:rsid w:val="001161F4"/>
    <w:rsid w:val="00116A0B"/>
    <w:rsid w:val="00117BDA"/>
    <w:rsid w:val="00122A7E"/>
    <w:rsid w:val="00124D86"/>
    <w:rsid w:val="00133FDC"/>
    <w:rsid w:val="0013749A"/>
    <w:rsid w:val="00147944"/>
    <w:rsid w:val="001603E5"/>
    <w:rsid w:val="001630F7"/>
    <w:rsid w:val="00166E93"/>
    <w:rsid w:val="00167713"/>
    <w:rsid w:val="0017116F"/>
    <w:rsid w:val="0018209C"/>
    <w:rsid w:val="00182F03"/>
    <w:rsid w:val="00183EC0"/>
    <w:rsid w:val="0018481B"/>
    <w:rsid w:val="00191451"/>
    <w:rsid w:val="00191E1B"/>
    <w:rsid w:val="00191F4B"/>
    <w:rsid w:val="001A045E"/>
    <w:rsid w:val="001A09B7"/>
    <w:rsid w:val="001B2EED"/>
    <w:rsid w:val="001B43B3"/>
    <w:rsid w:val="001B6231"/>
    <w:rsid w:val="001C1FAF"/>
    <w:rsid w:val="001C3AC8"/>
    <w:rsid w:val="001C4686"/>
    <w:rsid w:val="001C588A"/>
    <w:rsid w:val="001C662D"/>
    <w:rsid w:val="001D240C"/>
    <w:rsid w:val="001D54CD"/>
    <w:rsid w:val="001D7467"/>
    <w:rsid w:val="001D7830"/>
    <w:rsid w:val="001E0944"/>
    <w:rsid w:val="001E1575"/>
    <w:rsid w:val="001E3616"/>
    <w:rsid w:val="001E3875"/>
    <w:rsid w:val="001E4932"/>
    <w:rsid w:val="001F4C53"/>
    <w:rsid w:val="001F5049"/>
    <w:rsid w:val="001F5D44"/>
    <w:rsid w:val="001F5D8F"/>
    <w:rsid w:val="00200E21"/>
    <w:rsid w:val="00203344"/>
    <w:rsid w:val="0020429D"/>
    <w:rsid w:val="00205CA5"/>
    <w:rsid w:val="00205D58"/>
    <w:rsid w:val="0020654F"/>
    <w:rsid w:val="002111C9"/>
    <w:rsid w:val="0022358B"/>
    <w:rsid w:val="00223939"/>
    <w:rsid w:val="00223D9B"/>
    <w:rsid w:val="002262F0"/>
    <w:rsid w:val="00227718"/>
    <w:rsid w:val="00227B4D"/>
    <w:rsid w:val="00232395"/>
    <w:rsid w:val="00234F03"/>
    <w:rsid w:val="00236155"/>
    <w:rsid w:val="00236B3A"/>
    <w:rsid w:val="002508E5"/>
    <w:rsid w:val="00251A96"/>
    <w:rsid w:val="00257A85"/>
    <w:rsid w:val="00260D9F"/>
    <w:rsid w:val="002624B0"/>
    <w:rsid w:val="002708D4"/>
    <w:rsid w:val="00274E5F"/>
    <w:rsid w:val="00280F40"/>
    <w:rsid w:val="002810B3"/>
    <w:rsid w:val="00282CBA"/>
    <w:rsid w:val="00285248"/>
    <w:rsid w:val="00290A8A"/>
    <w:rsid w:val="00290C96"/>
    <w:rsid w:val="002915FF"/>
    <w:rsid w:val="0029242F"/>
    <w:rsid w:val="0029775A"/>
    <w:rsid w:val="002A3B65"/>
    <w:rsid w:val="002B28A1"/>
    <w:rsid w:val="002B5911"/>
    <w:rsid w:val="002B693D"/>
    <w:rsid w:val="002C12FA"/>
    <w:rsid w:val="002C396D"/>
    <w:rsid w:val="002C43B0"/>
    <w:rsid w:val="002C6E20"/>
    <w:rsid w:val="002D0B26"/>
    <w:rsid w:val="002D386A"/>
    <w:rsid w:val="002E4112"/>
    <w:rsid w:val="002E5015"/>
    <w:rsid w:val="002E594C"/>
    <w:rsid w:val="002E619A"/>
    <w:rsid w:val="002E61B2"/>
    <w:rsid w:val="002F46BA"/>
    <w:rsid w:val="002F55D1"/>
    <w:rsid w:val="003015C5"/>
    <w:rsid w:val="00320891"/>
    <w:rsid w:val="00324D4D"/>
    <w:rsid w:val="00324EEE"/>
    <w:rsid w:val="00330B65"/>
    <w:rsid w:val="00333939"/>
    <w:rsid w:val="00334547"/>
    <w:rsid w:val="00334716"/>
    <w:rsid w:val="00335E06"/>
    <w:rsid w:val="00345FD0"/>
    <w:rsid w:val="00350FE7"/>
    <w:rsid w:val="00351CD4"/>
    <w:rsid w:val="003522BA"/>
    <w:rsid w:val="00353168"/>
    <w:rsid w:val="0035485C"/>
    <w:rsid w:val="00356F72"/>
    <w:rsid w:val="0036503E"/>
    <w:rsid w:val="0036574D"/>
    <w:rsid w:val="0036621B"/>
    <w:rsid w:val="00372DDC"/>
    <w:rsid w:val="003752A8"/>
    <w:rsid w:val="00375798"/>
    <w:rsid w:val="00380BDC"/>
    <w:rsid w:val="003810CC"/>
    <w:rsid w:val="00383614"/>
    <w:rsid w:val="003839B7"/>
    <w:rsid w:val="00385160"/>
    <w:rsid w:val="00390531"/>
    <w:rsid w:val="0039543F"/>
    <w:rsid w:val="0039599F"/>
    <w:rsid w:val="0039633F"/>
    <w:rsid w:val="00397BDA"/>
    <w:rsid w:val="003A07CE"/>
    <w:rsid w:val="003A0817"/>
    <w:rsid w:val="003A5558"/>
    <w:rsid w:val="003B202C"/>
    <w:rsid w:val="003B3430"/>
    <w:rsid w:val="003B4753"/>
    <w:rsid w:val="003C04ED"/>
    <w:rsid w:val="003C4CDD"/>
    <w:rsid w:val="003C5DC9"/>
    <w:rsid w:val="003C6ADA"/>
    <w:rsid w:val="003D34EA"/>
    <w:rsid w:val="003D66B0"/>
    <w:rsid w:val="003E2195"/>
    <w:rsid w:val="003E753D"/>
    <w:rsid w:val="003F2AD8"/>
    <w:rsid w:val="003F2F04"/>
    <w:rsid w:val="003F4F38"/>
    <w:rsid w:val="003F5599"/>
    <w:rsid w:val="00403A15"/>
    <w:rsid w:val="00413062"/>
    <w:rsid w:val="004130A0"/>
    <w:rsid w:val="00413DFD"/>
    <w:rsid w:val="0041557D"/>
    <w:rsid w:val="00416A4F"/>
    <w:rsid w:val="004179B9"/>
    <w:rsid w:val="00421908"/>
    <w:rsid w:val="0042490B"/>
    <w:rsid w:val="004254DC"/>
    <w:rsid w:val="004346F9"/>
    <w:rsid w:val="00434CD6"/>
    <w:rsid w:val="00435215"/>
    <w:rsid w:val="00435F5A"/>
    <w:rsid w:val="00436FC9"/>
    <w:rsid w:val="00440B69"/>
    <w:rsid w:val="0044221C"/>
    <w:rsid w:val="00443AE7"/>
    <w:rsid w:val="00444746"/>
    <w:rsid w:val="00444857"/>
    <w:rsid w:val="00446B8C"/>
    <w:rsid w:val="00454EC6"/>
    <w:rsid w:val="00456006"/>
    <w:rsid w:val="0046050B"/>
    <w:rsid w:val="00463913"/>
    <w:rsid w:val="00463D22"/>
    <w:rsid w:val="004740E5"/>
    <w:rsid w:val="00483493"/>
    <w:rsid w:val="00485765"/>
    <w:rsid w:val="004907FE"/>
    <w:rsid w:val="00490C5C"/>
    <w:rsid w:val="00491ABF"/>
    <w:rsid w:val="004928AD"/>
    <w:rsid w:val="00492963"/>
    <w:rsid w:val="00495AAC"/>
    <w:rsid w:val="004A2ED7"/>
    <w:rsid w:val="004A2FD9"/>
    <w:rsid w:val="004A7B17"/>
    <w:rsid w:val="004B1513"/>
    <w:rsid w:val="004B1F4D"/>
    <w:rsid w:val="004B33BA"/>
    <w:rsid w:val="004B44D3"/>
    <w:rsid w:val="004C1AA1"/>
    <w:rsid w:val="004C27FB"/>
    <w:rsid w:val="004C2CFF"/>
    <w:rsid w:val="004C6877"/>
    <w:rsid w:val="004C6DAD"/>
    <w:rsid w:val="004C7563"/>
    <w:rsid w:val="004D1B42"/>
    <w:rsid w:val="004D267F"/>
    <w:rsid w:val="004D3AA4"/>
    <w:rsid w:val="004D507B"/>
    <w:rsid w:val="004D5F63"/>
    <w:rsid w:val="004E3C4C"/>
    <w:rsid w:val="004F0712"/>
    <w:rsid w:val="004F26CA"/>
    <w:rsid w:val="004F3B52"/>
    <w:rsid w:val="004F713B"/>
    <w:rsid w:val="00502F7B"/>
    <w:rsid w:val="0050436A"/>
    <w:rsid w:val="00504780"/>
    <w:rsid w:val="00507279"/>
    <w:rsid w:val="005078EE"/>
    <w:rsid w:val="0051287A"/>
    <w:rsid w:val="005149EC"/>
    <w:rsid w:val="00514ABB"/>
    <w:rsid w:val="005172B3"/>
    <w:rsid w:val="00523C3C"/>
    <w:rsid w:val="00523E58"/>
    <w:rsid w:val="00531E9F"/>
    <w:rsid w:val="00533F7B"/>
    <w:rsid w:val="00534AEF"/>
    <w:rsid w:val="00537F2B"/>
    <w:rsid w:val="00540779"/>
    <w:rsid w:val="00543755"/>
    <w:rsid w:val="005456F3"/>
    <w:rsid w:val="00546981"/>
    <w:rsid w:val="00553762"/>
    <w:rsid w:val="00563094"/>
    <w:rsid w:val="00563796"/>
    <w:rsid w:val="005643BE"/>
    <w:rsid w:val="00571B09"/>
    <w:rsid w:val="00573356"/>
    <w:rsid w:val="005745D8"/>
    <w:rsid w:val="00582452"/>
    <w:rsid w:val="00584C15"/>
    <w:rsid w:val="00586061"/>
    <w:rsid w:val="0059260A"/>
    <w:rsid w:val="00595621"/>
    <w:rsid w:val="00596B8D"/>
    <w:rsid w:val="00597016"/>
    <w:rsid w:val="005A228E"/>
    <w:rsid w:val="005A29FE"/>
    <w:rsid w:val="005B39E1"/>
    <w:rsid w:val="005C08BE"/>
    <w:rsid w:val="005C253C"/>
    <w:rsid w:val="005D3E7B"/>
    <w:rsid w:val="005D4799"/>
    <w:rsid w:val="005D53BB"/>
    <w:rsid w:val="005E1AD5"/>
    <w:rsid w:val="005E22D2"/>
    <w:rsid w:val="005E423D"/>
    <w:rsid w:val="005E4762"/>
    <w:rsid w:val="005F0FA8"/>
    <w:rsid w:val="005F109D"/>
    <w:rsid w:val="005F1460"/>
    <w:rsid w:val="005F3F01"/>
    <w:rsid w:val="005F4ABF"/>
    <w:rsid w:val="005F5DA3"/>
    <w:rsid w:val="006012B5"/>
    <w:rsid w:val="0060154D"/>
    <w:rsid w:val="00603168"/>
    <w:rsid w:val="006105B6"/>
    <w:rsid w:val="006153AE"/>
    <w:rsid w:val="006173B8"/>
    <w:rsid w:val="0062307B"/>
    <w:rsid w:val="0062348E"/>
    <w:rsid w:val="006252C7"/>
    <w:rsid w:val="006259CB"/>
    <w:rsid w:val="00635872"/>
    <w:rsid w:val="00635D3F"/>
    <w:rsid w:val="00635FFE"/>
    <w:rsid w:val="00637F0E"/>
    <w:rsid w:val="0064245F"/>
    <w:rsid w:val="00650EF8"/>
    <w:rsid w:val="006521DE"/>
    <w:rsid w:val="00660724"/>
    <w:rsid w:val="0067418C"/>
    <w:rsid w:val="00675E00"/>
    <w:rsid w:val="0068519F"/>
    <w:rsid w:val="006857DA"/>
    <w:rsid w:val="00686FBC"/>
    <w:rsid w:val="00687C6F"/>
    <w:rsid w:val="006945F8"/>
    <w:rsid w:val="00697F0C"/>
    <w:rsid w:val="006A213D"/>
    <w:rsid w:val="006A2DA3"/>
    <w:rsid w:val="006A41E4"/>
    <w:rsid w:val="006A7207"/>
    <w:rsid w:val="006B045D"/>
    <w:rsid w:val="006B1994"/>
    <w:rsid w:val="006B284C"/>
    <w:rsid w:val="006B52FE"/>
    <w:rsid w:val="006C1B29"/>
    <w:rsid w:val="006C327E"/>
    <w:rsid w:val="006C3BE4"/>
    <w:rsid w:val="006C42DE"/>
    <w:rsid w:val="006C479A"/>
    <w:rsid w:val="006C7F04"/>
    <w:rsid w:val="006D5154"/>
    <w:rsid w:val="006D53FE"/>
    <w:rsid w:val="006D793B"/>
    <w:rsid w:val="006E1CBD"/>
    <w:rsid w:val="006E7C13"/>
    <w:rsid w:val="006F36DC"/>
    <w:rsid w:val="006F6389"/>
    <w:rsid w:val="006F6921"/>
    <w:rsid w:val="006F7A90"/>
    <w:rsid w:val="00710EEB"/>
    <w:rsid w:val="00714735"/>
    <w:rsid w:val="00714966"/>
    <w:rsid w:val="00717607"/>
    <w:rsid w:val="00717832"/>
    <w:rsid w:val="00717922"/>
    <w:rsid w:val="0072251B"/>
    <w:rsid w:val="00723A47"/>
    <w:rsid w:val="00725AA2"/>
    <w:rsid w:val="00730744"/>
    <w:rsid w:val="00732C6D"/>
    <w:rsid w:val="007376EE"/>
    <w:rsid w:val="007404DD"/>
    <w:rsid w:val="007406A3"/>
    <w:rsid w:val="00741CC0"/>
    <w:rsid w:val="0074393F"/>
    <w:rsid w:val="00751EB9"/>
    <w:rsid w:val="00752B42"/>
    <w:rsid w:val="0075769A"/>
    <w:rsid w:val="00761148"/>
    <w:rsid w:val="007645C3"/>
    <w:rsid w:val="007648D5"/>
    <w:rsid w:val="00764BC6"/>
    <w:rsid w:val="0076603B"/>
    <w:rsid w:val="00767002"/>
    <w:rsid w:val="0077629C"/>
    <w:rsid w:val="007831A4"/>
    <w:rsid w:val="00783BDE"/>
    <w:rsid w:val="00785D61"/>
    <w:rsid w:val="0078768E"/>
    <w:rsid w:val="00790F0E"/>
    <w:rsid w:val="00792055"/>
    <w:rsid w:val="00794709"/>
    <w:rsid w:val="00794FCF"/>
    <w:rsid w:val="007A2742"/>
    <w:rsid w:val="007A2A73"/>
    <w:rsid w:val="007B0046"/>
    <w:rsid w:val="007B3D51"/>
    <w:rsid w:val="007B45FE"/>
    <w:rsid w:val="007B5161"/>
    <w:rsid w:val="007C0CE8"/>
    <w:rsid w:val="007C5B4E"/>
    <w:rsid w:val="007D1538"/>
    <w:rsid w:val="007E1448"/>
    <w:rsid w:val="007E3544"/>
    <w:rsid w:val="007E4C91"/>
    <w:rsid w:val="007E52FC"/>
    <w:rsid w:val="007E5407"/>
    <w:rsid w:val="007E71E7"/>
    <w:rsid w:val="007E74A6"/>
    <w:rsid w:val="007E7A1C"/>
    <w:rsid w:val="007E7AB8"/>
    <w:rsid w:val="007F64E6"/>
    <w:rsid w:val="007F6997"/>
    <w:rsid w:val="008000A3"/>
    <w:rsid w:val="00802545"/>
    <w:rsid w:val="00803C56"/>
    <w:rsid w:val="0080741F"/>
    <w:rsid w:val="00812CBD"/>
    <w:rsid w:val="00813C54"/>
    <w:rsid w:val="008226CF"/>
    <w:rsid w:val="008335BC"/>
    <w:rsid w:val="00847374"/>
    <w:rsid w:val="00854A7C"/>
    <w:rsid w:val="00857C2D"/>
    <w:rsid w:val="00861352"/>
    <w:rsid w:val="00866834"/>
    <w:rsid w:val="00867A1C"/>
    <w:rsid w:val="008706D9"/>
    <w:rsid w:val="008729D9"/>
    <w:rsid w:val="0087401B"/>
    <w:rsid w:val="00874AA6"/>
    <w:rsid w:val="00874F77"/>
    <w:rsid w:val="00890C91"/>
    <w:rsid w:val="00891517"/>
    <w:rsid w:val="00891EFC"/>
    <w:rsid w:val="008A1C12"/>
    <w:rsid w:val="008A1D71"/>
    <w:rsid w:val="008A2226"/>
    <w:rsid w:val="008A6C8D"/>
    <w:rsid w:val="008C0A29"/>
    <w:rsid w:val="008C228F"/>
    <w:rsid w:val="008C5DBC"/>
    <w:rsid w:val="008D0AF1"/>
    <w:rsid w:val="008D7436"/>
    <w:rsid w:val="008E338E"/>
    <w:rsid w:val="008E4FEA"/>
    <w:rsid w:val="008E7A28"/>
    <w:rsid w:val="008F260A"/>
    <w:rsid w:val="008F3827"/>
    <w:rsid w:val="008F4700"/>
    <w:rsid w:val="008F6EB0"/>
    <w:rsid w:val="00906DB8"/>
    <w:rsid w:val="00921141"/>
    <w:rsid w:val="009228E7"/>
    <w:rsid w:val="00925130"/>
    <w:rsid w:val="0092524A"/>
    <w:rsid w:val="009334C1"/>
    <w:rsid w:val="00933805"/>
    <w:rsid w:val="00934637"/>
    <w:rsid w:val="00937BFB"/>
    <w:rsid w:val="0094079A"/>
    <w:rsid w:val="00944CA4"/>
    <w:rsid w:val="0094792E"/>
    <w:rsid w:val="00947CF9"/>
    <w:rsid w:val="00950D0D"/>
    <w:rsid w:val="00954725"/>
    <w:rsid w:val="00954C1A"/>
    <w:rsid w:val="009615B7"/>
    <w:rsid w:val="009658B3"/>
    <w:rsid w:val="00975081"/>
    <w:rsid w:val="00976639"/>
    <w:rsid w:val="009770C4"/>
    <w:rsid w:val="009778C1"/>
    <w:rsid w:val="00980589"/>
    <w:rsid w:val="00985C5D"/>
    <w:rsid w:val="0098792F"/>
    <w:rsid w:val="009905EE"/>
    <w:rsid w:val="00995CBA"/>
    <w:rsid w:val="00996908"/>
    <w:rsid w:val="009A5D28"/>
    <w:rsid w:val="009A6690"/>
    <w:rsid w:val="009B262B"/>
    <w:rsid w:val="009B77B1"/>
    <w:rsid w:val="009C1179"/>
    <w:rsid w:val="009C6186"/>
    <w:rsid w:val="009D425D"/>
    <w:rsid w:val="009D749B"/>
    <w:rsid w:val="009E7F86"/>
    <w:rsid w:val="009F2228"/>
    <w:rsid w:val="009F2B43"/>
    <w:rsid w:val="009F3CDE"/>
    <w:rsid w:val="00A003B6"/>
    <w:rsid w:val="00A02273"/>
    <w:rsid w:val="00A02BCB"/>
    <w:rsid w:val="00A06C8A"/>
    <w:rsid w:val="00A07872"/>
    <w:rsid w:val="00A121FD"/>
    <w:rsid w:val="00A123CD"/>
    <w:rsid w:val="00A12D27"/>
    <w:rsid w:val="00A21264"/>
    <w:rsid w:val="00A22BB8"/>
    <w:rsid w:val="00A22BCB"/>
    <w:rsid w:val="00A32BFB"/>
    <w:rsid w:val="00A3599C"/>
    <w:rsid w:val="00A416CC"/>
    <w:rsid w:val="00A46114"/>
    <w:rsid w:val="00A46E8B"/>
    <w:rsid w:val="00A52D57"/>
    <w:rsid w:val="00A56C61"/>
    <w:rsid w:val="00A57947"/>
    <w:rsid w:val="00A63418"/>
    <w:rsid w:val="00A65B2A"/>
    <w:rsid w:val="00A66A1B"/>
    <w:rsid w:val="00A711B5"/>
    <w:rsid w:val="00A72695"/>
    <w:rsid w:val="00A73B9B"/>
    <w:rsid w:val="00A748FF"/>
    <w:rsid w:val="00A76707"/>
    <w:rsid w:val="00A76A80"/>
    <w:rsid w:val="00A7799B"/>
    <w:rsid w:val="00A831AB"/>
    <w:rsid w:val="00A84C0C"/>
    <w:rsid w:val="00A92CC9"/>
    <w:rsid w:val="00AB3366"/>
    <w:rsid w:val="00AB3624"/>
    <w:rsid w:val="00AB7201"/>
    <w:rsid w:val="00AD4856"/>
    <w:rsid w:val="00AE3096"/>
    <w:rsid w:val="00AE3460"/>
    <w:rsid w:val="00AE36EE"/>
    <w:rsid w:val="00AE4F9E"/>
    <w:rsid w:val="00AF4884"/>
    <w:rsid w:val="00AF4DE3"/>
    <w:rsid w:val="00B024FE"/>
    <w:rsid w:val="00B04160"/>
    <w:rsid w:val="00B068D9"/>
    <w:rsid w:val="00B077BF"/>
    <w:rsid w:val="00B10D52"/>
    <w:rsid w:val="00B1451A"/>
    <w:rsid w:val="00B15440"/>
    <w:rsid w:val="00B167E2"/>
    <w:rsid w:val="00B23554"/>
    <w:rsid w:val="00B23AB6"/>
    <w:rsid w:val="00B23DAB"/>
    <w:rsid w:val="00B24FF6"/>
    <w:rsid w:val="00B30472"/>
    <w:rsid w:val="00B35CCF"/>
    <w:rsid w:val="00B368A1"/>
    <w:rsid w:val="00B42725"/>
    <w:rsid w:val="00B432D8"/>
    <w:rsid w:val="00B4667A"/>
    <w:rsid w:val="00B47843"/>
    <w:rsid w:val="00B50772"/>
    <w:rsid w:val="00B609D3"/>
    <w:rsid w:val="00B661C5"/>
    <w:rsid w:val="00B72B95"/>
    <w:rsid w:val="00B91A9E"/>
    <w:rsid w:val="00B93221"/>
    <w:rsid w:val="00B95981"/>
    <w:rsid w:val="00BB0040"/>
    <w:rsid w:val="00BB2504"/>
    <w:rsid w:val="00BB341C"/>
    <w:rsid w:val="00BB3BE8"/>
    <w:rsid w:val="00BB5403"/>
    <w:rsid w:val="00BB6968"/>
    <w:rsid w:val="00BC14D1"/>
    <w:rsid w:val="00BC5F6A"/>
    <w:rsid w:val="00BD6DA1"/>
    <w:rsid w:val="00BE074C"/>
    <w:rsid w:val="00BE0B79"/>
    <w:rsid w:val="00BE4385"/>
    <w:rsid w:val="00BE6DA9"/>
    <w:rsid w:val="00BF3D06"/>
    <w:rsid w:val="00BF497C"/>
    <w:rsid w:val="00BF7B3F"/>
    <w:rsid w:val="00C02BF3"/>
    <w:rsid w:val="00C03B49"/>
    <w:rsid w:val="00C1310A"/>
    <w:rsid w:val="00C17D9C"/>
    <w:rsid w:val="00C211CB"/>
    <w:rsid w:val="00C21679"/>
    <w:rsid w:val="00C22B2E"/>
    <w:rsid w:val="00C241C8"/>
    <w:rsid w:val="00C269C8"/>
    <w:rsid w:val="00C271D1"/>
    <w:rsid w:val="00C31E17"/>
    <w:rsid w:val="00C349E0"/>
    <w:rsid w:val="00C40567"/>
    <w:rsid w:val="00C411B8"/>
    <w:rsid w:val="00C41C06"/>
    <w:rsid w:val="00C45D96"/>
    <w:rsid w:val="00C47C98"/>
    <w:rsid w:val="00C56045"/>
    <w:rsid w:val="00C5656B"/>
    <w:rsid w:val="00C61C86"/>
    <w:rsid w:val="00C70CDF"/>
    <w:rsid w:val="00C72581"/>
    <w:rsid w:val="00C777E5"/>
    <w:rsid w:val="00C80772"/>
    <w:rsid w:val="00C8217D"/>
    <w:rsid w:val="00C82553"/>
    <w:rsid w:val="00C878FE"/>
    <w:rsid w:val="00C91330"/>
    <w:rsid w:val="00CA0712"/>
    <w:rsid w:val="00CA544A"/>
    <w:rsid w:val="00CA5A88"/>
    <w:rsid w:val="00CA6597"/>
    <w:rsid w:val="00CA7101"/>
    <w:rsid w:val="00CB2D97"/>
    <w:rsid w:val="00CB47FC"/>
    <w:rsid w:val="00CC09B4"/>
    <w:rsid w:val="00CC3485"/>
    <w:rsid w:val="00CC4150"/>
    <w:rsid w:val="00CD0172"/>
    <w:rsid w:val="00CD042A"/>
    <w:rsid w:val="00CD08A6"/>
    <w:rsid w:val="00CD0A23"/>
    <w:rsid w:val="00CD1A37"/>
    <w:rsid w:val="00CD412A"/>
    <w:rsid w:val="00CE163C"/>
    <w:rsid w:val="00CE46FA"/>
    <w:rsid w:val="00CE5409"/>
    <w:rsid w:val="00CE5493"/>
    <w:rsid w:val="00CE5A10"/>
    <w:rsid w:val="00CE5F5B"/>
    <w:rsid w:val="00CE6EE6"/>
    <w:rsid w:val="00CE7404"/>
    <w:rsid w:val="00CF01A0"/>
    <w:rsid w:val="00CF4D80"/>
    <w:rsid w:val="00CF60C2"/>
    <w:rsid w:val="00D01D94"/>
    <w:rsid w:val="00D026FD"/>
    <w:rsid w:val="00D2249A"/>
    <w:rsid w:val="00D253B5"/>
    <w:rsid w:val="00D3190E"/>
    <w:rsid w:val="00D31DB9"/>
    <w:rsid w:val="00D41064"/>
    <w:rsid w:val="00D43204"/>
    <w:rsid w:val="00D43E82"/>
    <w:rsid w:val="00D46DE1"/>
    <w:rsid w:val="00D46DF9"/>
    <w:rsid w:val="00D540A2"/>
    <w:rsid w:val="00D551E0"/>
    <w:rsid w:val="00D57E73"/>
    <w:rsid w:val="00D6195B"/>
    <w:rsid w:val="00D62630"/>
    <w:rsid w:val="00D6338A"/>
    <w:rsid w:val="00D6433B"/>
    <w:rsid w:val="00D6738C"/>
    <w:rsid w:val="00D67460"/>
    <w:rsid w:val="00D6796F"/>
    <w:rsid w:val="00D73394"/>
    <w:rsid w:val="00D73AB1"/>
    <w:rsid w:val="00D74AED"/>
    <w:rsid w:val="00D85AF7"/>
    <w:rsid w:val="00D85DEB"/>
    <w:rsid w:val="00D95221"/>
    <w:rsid w:val="00D9789A"/>
    <w:rsid w:val="00DA657B"/>
    <w:rsid w:val="00DB182F"/>
    <w:rsid w:val="00DB3FE4"/>
    <w:rsid w:val="00DC01A5"/>
    <w:rsid w:val="00DC3369"/>
    <w:rsid w:val="00DC3CF0"/>
    <w:rsid w:val="00DD3A17"/>
    <w:rsid w:val="00DD45F5"/>
    <w:rsid w:val="00DD50DC"/>
    <w:rsid w:val="00DD51D6"/>
    <w:rsid w:val="00DD61A5"/>
    <w:rsid w:val="00DE0319"/>
    <w:rsid w:val="00DE063C"/>
    <w:rsid w:val="00DE29F6"/>
    <w:rsid w:val="00DE37F6"/>
    <w:rsid w:val="00DE46F3"/>
    <w:rsid w:val="00DE4E85"/>
    <w:rsid w:val="00DE67DF"/>
    <w:rsid w:val="00DF7287"/>
    <w:rsid w:val="00E04FA2"/>
    <w:rsid w:val="00E068D1"/>
    <w:rsid w:val="00E074EE"/>
    <w:rsid w:val="00E0798B"/>
    <w:rsid w:val="00E1037B"/>
    <w:rsid w:val="00E10952"/>
    <w:rsid w:val="00E11C21"/>
    <w:rsid w:val="00E130E4"/>
    <w:rsid w:val="00E16DB1"/>
    <w:rsid w:val="00E20F54"/>
    <w:rsid w:val="00E21737"/>
    <w:rsid w:val="00E267D8"/>
    <w:rsid w:val="00E27329"/>
    <w:rsid w:val="00E27907"/>
    <w:rsid w:val="00E32072"/>
    <w:rsid w:val="00E3295F"/>
    <w:rsid w:val="00E333E9"/>
    <w:rsid w:val="00E338F4"/>
    <w:rsid w:val="00E40EE4"/>
    <w:rsid w:val="00E42101"/>
    <w:rsid w:val="00E43869"/>
    <w:rsid w:val="00E4408B"/>
    <w:rsid w:val="00E509B1"/>
    <w:rsid w:val="00E5348E"/>
    <w:rsid w:val="00E54166"/>
    <w:rsid w:val="00E555DF"/>
    <w:rsid w:val="00E566BD"/>
    <w:rsid w:val="00E56BED"/>
    <w:rsid w:val="00E70CAE"/>
    <w:rsid w:val="00E71CFC"/>
    <w:rsid w:val="00E75539"/>
    <w:rsid w:val="00E76191"/>
    <w:rsid w:val="00E80055"/>
    <w:rsid w:val="00E83A8D"/>
    <w:rsid w:val="00E8441E"/>
    <w:rsid w:val="00E85D86"/>
    <w:rsid w:val="00EA2D36"/>
    <w:rsid w:val="00EA3CCE"/>
    <w:rsid w:val="00EA47FC"/>
    <w:rsid w:val="00EA7E7D"/>
    <w:rsid w:val="00EB3252"/>
    <w:rsid w:val="00EB5492"/>
    <w:rsid w:val="00EB56C0"/>
    <w:rsid w:val="00EB72D8"/>
    <w:rsid w:val="00EC05D1"/>
    <w:rsid w:val="00EC3A38"/>
    <w:rsid w:val="00ED057B"/>
    <w:rsid w:val="00ED196F"/>
    <w:rsid w:val="00ED2ED3"/>
    <w:rsid w:val="00ED39A1"/>
    <w:rsid w:val="00ED4C74"/>
    <w:rsid w:val="00ED4FDA"/>
    <w:rsid w:val="00ED55CB"/>
    <w:rsid w:val="00ED5934"/>
    <w:rsid w:val="00ED7F50"/>
    <w:rsid w:val="00EE25B3"/>
    <w:rsid w:val="00EE4A99"/>
    <w:rsid w:val="00EE6B82"/>
    <w:rsid w:val="00EF075B"/>
    <w:rsid w:val="00EF0A95"/>
    <w:rsid w:val="00EF14AD"/>
    <w:rsid w:val="00EF1552"/>
    <w:rsid w:val="00F01A38"/>
    <w:rsid w:val="00F023EB"/>
    <w:rsid w:val="00F02D86"/>
    <w:rsid w:val="00F05934"/>
    <w:rsid w:val="00F06545"/>
    <w:rsid w:val="00F204BE"/>
    <w:rsid w:val="00F20FC2"/>
    <w:rsid w:val="00F226C3"/>
    <w:rsid w:val="00F227B4"/>
    <w:rsid w:val="00F238FB"/>
    <w:rsid w:val="00F26049"/>
    <w:rsid w:val="00F27017"/>
    <w:rsid w:val="00F27920"/>
    <w:rsid w:val="00F47302"/>
    <w:rsid w:val="00F509CE"/>
    <w:rsid w:val="00F51866"/>
    <w:rsid w:val="00F543A4"/>
    <w:rsid w:val="00F67880"/>
    <w:rsid w:val="00F75D6F"/>
    <w:rsid w:val="00F82A5D"/>
    <w:rsid w:val="00F91AEE"/>
    <w:rsid w:val="00F928AA"/>
    <w:rsid w:val="00F94335"/>
    <w:rsid w:val="00F94C3A"/>
    <w:rsid w:val="00F955B8"/>
    <w:rsid w:val="00F9743C"/>
    <w:rsid w:val="00F977BB"/>
    <w:rsid w:val="00FA2CCC"/>
    <w:rsid w:val="00FA49FF"/>
    <w:rsid w:val="00FB2B11"/>
    <w:rsid w:val="00FB53AF"/>
    <w:rsid w:val="00FB6485"/>
    <w:rsid w:val="00FB6B34"/>
    <w:rsid w:val="00FC0F4F"/>
    <w:rsid w:val="00FC25FF"/>
    <w:rsid w:val="00FC2631"/>
    <w:rsid w:val="00FC2A5E"/>
    <w:rsid w:val="00FC6937"/>
    <w:rsid w:val="00FD551A"/>
    <w:rsid w:val="00FD5CFF"/>
    <w:rsid w:val="00FF6D98"/>
    <w:rsid w:val="01155AC7"/>
    <w:rsid w:val="014B738F"/>
    <w:rsid w:val="022950E4"/>
    <w:rsid w:val="033D441F"/>
    <w:rsid w:val="03B5196C"/>
    <w:rsid w:val="03C06FC8"/>
    <w:rsid w:val="05D610DF"/>
    <w:rsid w:val="07F97A23"/>
    <w:rsid w:val="08A2799E"/>
    <w:rsid w:val="09C33687"/>
    <w:rsid w:val="0B9C2483"/>
    <w:rsid w:val="0CE56E2B"/>
    <w:rsid w:val="0D205087"/>
    <w:rsid w:val="0DB51F60"/>
    <w:rsid w:val="0DC40E67"/>
    <w:rsid w:val="0DE545B5"/>
    <w:rsid w:val="0E39220B"/>
    <w:rsid w:val="0E8F4521"/>
    <w:rsid w:val="0F3808C6"/>
    <w:rsid w:val="101B0F4C"/>
    <w:rsid w:val="10F91150"/>
    <w:rsid w:val="116A42D9"/>
    <w:rsid w:val="11BE73EE"/>
    <w:rsid w:val="11E71254"/>
    <w:rsid w:val="12AA1929"/>
    <w:rsid w:val="131B2D2B"/>
    <w:rsid w:val="133C45AB"/>
    <w:rsid w:val="13D27F21"/>
    <w:rsid w:val="1414359C"/>
    <w:rsid w:val="14860EFD"/>
    <w:rsid w:val="15FD2194"/>
    <w:rsid w:val="16E7186A"/>
    <w:rsid w:val="177465B8"/>
    <w:rsid w:val="17A94447"/>
    <w:rsid w:val="17D2534C"/>
    <w:rsid w:val="182C2DE0"/>
    <w:rsid w:val="183121A5"/>
    <w:rsid w:val="18730A0F"/>
    <w:rsid w:val="1912639F"/>
    <w:rsid w:val="19AF6F8A"/>
    <w:rsid w:val="19E51499"/>
    <w:rsid w:val="1A3F1C02"/>
    <w:rsid w:val="1A4474F2"/>
    <w:rsid w:val="1A961955"/>
    <w:rsid w:val="1A973088"/>
    <w:rsid w:val="1B456222"/>
    <w:rsid w:val="1E0C3027"/>
    <w:rsid w:val="1E27095C"/>
    <w:rsid w:val="1E6E5CC1"/>
    <w:rsid w:val="21181C15"/>
    <w:rsid w:val="217A51D2"/>
    <w:rsid w:val="226F0499"/>
    <w:rsid w:val="22A834EE"/>
    <w:rsid w:val="23241284"/>
    <w:rsid w:val="23300840"/>
    <w:rsid w:val="23665F8E"/>
    <w:rsid w:val="23A21A79"/>
    <w:rsid w:val="240C62FE"/>
    <w:rsid w:val="24143171"/>
    <w:rsid w:val="25312AFE"/>
    <w:rsid w:val="258A2B7A"/>
    <w:rsid w:val="25BF2CCE"/>
    <w:rsid w:val="25D731A6"/>
    <w:rsid w:val="25ED5DFA"/>
    <w:rsid w:val="261314DE"/>
    <w:rsid w:val="26B45979"/>
    <w:rsid w:val="26B74BCC"/>
    <w:rsid w:val="27014A96"/>
    <w:rsid w:val="27C76682"/>
    <w:rsid w:val="282C47B3"/>
    <w:rsid w:val="288F2182"/>
    <w:rsid w:val="291E0523"/>
    <w:rsid w:val="2A202D8E"/>
    <w:rsid w:val="2A21651D"/>
    <w:rsid w:val="2B085619"/>
    <w:rsid w:val="2B6C7C6C"/>
    <w:rsid w:val="2BD173B3"/>
    <w:rsid w:val="2C3F30CB"/>
    <w:rsid w:val="2D7B0875"/>
    <w:rsid w:val="2DF37624"/>
    <w:rsid w:val="2E324BC8"/>
    <w:rsid w:val="2E650CB1"/>
    <w:rsid w:val="2EC6763F"/>
    <w:rsid w:val="2ED007EF"/>
    <w:rsid w:val="2F89294C"/>
    <w:rsid w:val="30EB518F"/>
    <w:rsid w:val="310B2831"/>
    <w:rsid w:val="311839E7"/>
    <w:rsid w:val="312863E3"/>
    <w:rsid w:val="31A46A1E"/>
    <w:rsid w:val="32481551"/>
    <w:rsid w:val="325A56F0"/>
    <w:rsid w:val="330E51E8"/>
    <w:rsid w:val="337A0A4C"/>
    <w:rsid w:val="34B57136"/>
    <w:rsid w:val="35BD19ED"/>
    <w:rsid w:val="35DB01D3"/>
    <w:rsid w:val="39724DA4"/>
    <w:rsid w:val="39B95075"/>
    <w:rsid w:val="39C3010A"/>
    <w:rsid w:val="39CA3D14"/>
    <w:rsid w:val="3A06457C"/>
    <w:rsid w:val="3A1E65D5"/>
    <w:rsid w:val="3A577D39"/>
    <w:rsid w:val="3A5906FF"/>
    <w:rsid w:val="3ADF3376"/>
    <w:rsid w:val="3B0F1D50"/>
    <w:rsid w:val="3B11613A"/>
    <w:rsid w:val="3BAD5295"/>
    <w:rsid w:val="3C4740C3"/>
    <w:rsid w:val="3CFD5404"/>
    <w:rsid w:val="3D8D1D6A"/>
    <w:rsid w:val="3E0535EA"/>
    <w:rsid w:val="42EB500A"/>
    <w:rsid w:val="4389659D"/>
    <w:rsid w:val="438F2199"/>
    <w:rsid w:val="44330B7E"/>
    <w:rsid w:val="44734426"/>
    <w:rsid w:val="45297B20"/>
    <w:rsid w:val="45A26392"/>
    <w:rsid w:val="45D249F5"/>
    <w:rsid w:val="46696E2A"/>
    <w:rsid w:val="469554E8"/>
    <w:rsid w:val="47755503"/>
    <w:rsid w:val="479D2B0D"/>
    <w:rsid w:val="47C907A9"/>
    <w:rsid w:val="484555C4"/>
    <w:rsid w:val="486303B7"/>
    <w:rsid w:val="49262DB0"/>
    <w:rsid w:val="4951442C"/>
    <w:rsid w:val="4A2319E6"/>
    <w:rsid w:val="4A7257E1"/>
    <w:rsid w:val="4BA964A0"/>
    <w:rsid w:val="4D006E91"/>
    <w:rsid w:val="4D1C5B6A"/>
    <w:rsid w:val="4DB13AC4"/>
    <w:rsid w:val="4E7925B5"/>
    <w:rsid w:val="4F493C9D"/>
    <w:rsid w:val="4F5148FF"/>
    <w:rsid w:val="4F540738"/>
    <w:rsid w:val="4FCB7540"/>
    <w:rsid w:val="4FF736F9"/>
    <w:rsid w:val="50086B0E"/>
    <w:rsid w:val="50BE0448"/>
    <w:rsid w:val="513149E8"/>
    <w:rsid w:val="517E35DA"/>
    <w:rsid w:val="517E3D73"/>
    <w:rsid w:val="521368F9"/>
    <w:rsid w:val="5365107B"/>
    <w:rsid w:val="538325E2"/>
    <w:rsid w:val="53935C66"/>
    <w:rsid w:val="53A65A1D"/>
    <w:rsid w:val="540D347C"/>
    <w:rsid w:val="541F7C9F"/>
    <w:rsid w:val="55093D1A"/>
    <w:rsid w:val="559F72F8"/>
    <w:rsid w:val="55A60A22"/>
    <w:rsid w:val="57F201EA"/>
    <w:rsid w:val="58CA6C24"/>
    <w:rsid w:val="58E44AC4"/>
    <w:rsid w:val="5AD448D0"/>
    <w:rsid w:val="5AEA11F4"/>
    <w:rsid w:val="5B134969"/>
    <w:rsid w:val="5B3C2B26"/>
    <w:rsid w:val="5B972AFB"/>
    <w:rsid w:val="5BF03D15"/>
    <w:rsid w:val="5D101956"/>
    <w:rsid w:val="5D924A61"/>
    <w:rsid w:val="5DFD7C4D"/>
    <w:rsid w:val="5E504982"/>
    <w:rsid w:val="5F355218"/>
    <w:rsid w:val="5FE61138"/>
    <w:rsid w:val="60073AA4"/>
    <w:rsid w:val="603D7A2E"/>
    <w:rsid w:val="603E6D4E"/>
    <w:rsid w:val="60B54B3D"/>
    <w:rsid w:val="60F70360"/>
    <w:rsid w:val="62433DEE"/>
    <w:rsid w:val="63AE7394"/>
    <w:rsid w:val="6418350F"/>
    <w:rsid w:val="655F7738"/>
    <w:rsid w:val="67087B42"/>
    <w:rsid w:val="67825B46"/>
    <w:rsid w:val="68445113"/>
    <w:rsid w:val="68B41D2F"/>
    <w:rsid w:val="68C62E6C"/>
    <w:rsid w:val="6960145B"/>
    <w:rsid w:val="696A60B8"/>
    <w:rsid w:val="69B17DFB"/>
    <w:rsid w:val="6A0024A9"/>
    <w:rsid w:val="6A072332"/>
    <w:rsid w:val="6AAC3DF1"/>
    <w:rsid w:val="6CC72349"/>
    <w:rsid w:val="6D6F34FA"/>
    <w:rsid w:val="6DE94229"/>
    <w:rsid w:val="6E122ED2"/>
    <w:rsid w:val="6ECD6849"/>
    <w:rsid w:val="6F872384"/>
    <w:rsid w:val="6FEF7AF1"/>
    <w:rsid w:val="71C62CD4"/>
    <w:rsid w:val="71EC4A96"/>
    <w:rsid w:val="730A48CA"/>
    <w:rsid w:val="732405DD"/>
    <w:rsid w:val="7361291F"/>
    <w:rsid w:val="746957B5"/>
    <w:rsid w:val="74FD0501"/>
    <w:rsid w:val="75117552"/>
    <w:rsid w:val="75712ADF"/>
    <w:rsid w:val="75BC67DC"/>
    <w:rsid w:val="763757FD"/>
    <w:rsid w:val="763E45FA"/>
    <w:rsid w:val="76602A84"/>
    <w:rsid w:val="768A0745"/>
    <w:rsid w:val="76EF2780"/>
    <w:rsid w:val="77095724"/>
    <w:rsid w:val="77E64E17"/>
    <w:rsid w:val="78291921"/>
    <w:rsid w:val="790243F1"/>
    <w:rsid w:val="79053D7E"/>
    <w:rsid w:val="792D02DD"/>
    <w:rsid w:val="7A2C5E40"/>
    <w:rsid w:val="7B145A11"/>
    <w:rsid w:val="7B5B24DE"/>
    <w:rsid w:val="7BC86E4D"/>
    <w:rsid w:val="7BE40725"/>
    <w:rsid w:val="7C0D4AF9"/>
    <w:rsid w:val="7C2E083B"/>
    <w:rsid w:val="7C6F7EC1"/>
    <w:rsid w:val="7CA232B0"/>
    <w:rsid w:val="7CB41EA6"/>
    <w:rsid w:val="7D607A29"/>
    <w:rsid w:val="7D983444"/>
    <w:rsid w:val="7E17093E"/>
    <w:rsid w:val="7E5963C6"/>
    <w:rsid w:val="7E9718C6"/>
    <w:rsid w:val="7EC0639D"/>
    <w:rsid w:val="7F2C04B3"/>
    <w:rsid w:val="7F761695"/>
    <w:rsid w:val="7F8C6E5F"/>
    <w:rsid w:val="7F9148C3"/>
    <w:rsid w:val="7FC87C81"/>
    <w:rsid w:val="7FCA53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link w:val="28"/>
    <w:qFormat/>
    <w:uiPriority w:val="0"/>
    <w:pPr>
      <w:keepNext/>
      <w:keepLines/>
      <w:jc w:val="left"/>
      <w:outlineLvl w:val="3"/>
    </w:pPr>
    <w:rPr>
      <w:rFonts w:hint="eastAsia" w:ascii="Arial" w:hAnsi="Arial" w:eastAsia="宋体" w:cs="Times New Roman"/>
      <w:b/>
      <w:sz w:val="32"/>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rPr>
      <w:rFonts w:ascii="Times New Roman" w:hAnsi="Times New Roman"/>
      <w:szCs w:val="21"/>
    </w:rPr>
  </w:style>
  <w:style w:type="paragraph" w:styleId="4">
    <w:name w:val="Normal Indent"/>
    <w:basedOn w:val="1"/>
    <w:next w:val="1"/>
    <w:unhideWhenUsed/>
    <w:qFormat/>
    <w:uiPriority w:val="99"/>
    <w:pPr>
      <w:snapToGrid w:val="0"/>
      <w:spacing w:line="300" w:lineRule="auto"/>
      <w:ind w:firstLine="482"/>
    </w:pPr>
    <w:rPr>
      <w:rFonts w:ascii="宋体" w:hAnsi="宋体" w:cs="宋体"/>
      <w:kern w:val="0"/>
      <w:sz w:val="24"/>
      <w:szCs w:val="24"/>
    </w:rPr>
  </w:style>
  <w:style w:type="paragraph" w:styleId="5">
    <w:name w:val="Salutation"/>
    <w:basedOn w:val="1"/>
    <w:next w:val="1"/>
    <w:qFormat/>
    <w:uiPriority w:val="0"/>
    <w:rPr>
      <w:rFonts w:eastAsia="宋体"/>
      <w:szCs w:val="21"/>
    </w:rPr>
  </w:style>
  <w:style w:type="paragraph" w:styleId="6">
    <w:name w:val="Body Text"/>
    <w:basedOn w:val="1"/>
    <w:next w:val="1"/>
    <w:link w:val="29"/>
    <w:qFormat/>
    <w:uiPriority w:val="99"/>
    <w:pPr>
      <w:spacing w:after="120"/>
    </w:pPr>
    <w:rPr>
      <w:kern w:val="0"/>
      <w:sz w:val="20"/>
      <w:szCs w:val="24"/>
    </w:rPr>
  </w:style>
  <w:style w:type="paragraph" w:styleId="7">
    <w:name w:val="Body Text Indent"/>
    <w:basedOn w:val="1"/>
    <w:next w:val="4"/>
    <w:link w:val="30"/>
    <w:unhideWhenUsed/>
    <w:qFormat/>
    <w:uiPriority w:val="99"/>
    <w:pPr>
      <w:spacing w:before="100" w:beforeAutospacing="1" w:after="120"/>
      <w:ind w:left="420" w:leftChars="200"/>
    </w:pPr>
    <w:rPr>
      <w:rFonts w:ascii="Times New Roman" w:hAnsi="Times New Roman"/>
      <w:szCs w:val="21"/>
    </w:rPr>
  </w:style>
  <w:style w:type="paragraph" w:styleId="8">
    <w:name w:val="toc 5"/>
    <w:basedOn w:val="1"/>
    <w:next w:val="1"/>
    <w:qFormat/>
    <w:uiPriority w:val="0"/>
    <w:pPr>
      <w:keepNext w:val="0"/>
      <w:keepLines w:val="0"/>
      <w:widowControl w:val="0"/>
      <w:suppressLineNumbers w:val="0"/>
      <w:spacing w:before="0" w:beforeAutospacing="0" w:after="0" w:afterAutospacing="0"/>
      <w:ind w:left="1680" w:leftChars="800" w:right="0"/>
      <w:jc w:val="both"/>
    </w:pPr>
    <w:rPr>
      <w:rFonts w:hint="default" w:ascii="Calibri" w:hAnsi="Calibri" w:eastAsia="宋体" w:cs="Times New Roman"/>
      <w:kern w:val="2"/>
      <w:sz w:val="21"/>
      <w:szCs w:val="22"/>
      <w:lang w:val="en-US" w:eastAsia="zh-CN" w:bidi="ar"/>
    </w:rPr>
  </w:style>
  <w:style w:type="paragraph" w:styleId="9">
    <w:name w:val="Plain Text"/>
    <w:basedOn w:val="1"/>
    <w:link w:val="3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2"/>
      <w:lang w:val="en-US" w:eastAsia="zh-CN" w:bidi="ar"/>
    </w:rPr>
  </w:style>
  <w:style w:type="paragraph" w:styleId="10">
    <w:name w:val="Date"/>
    <w:basedOn w:val="1"/>
    <w:next w:val="1"/>
    <w:link w:val="32"/>
    <w:unhideWhenUsed/>
    <w:qFormat/>
    <w:uiPriority w:val="99"/>
    <w:pPr>
      <w:ind w:left="100" w:leftChars="2500"/>
    </w:pPr>
  </w:style>
  <w:style w:type="paragraph" w:styleId="11">
    <w:name w:val="Body Text Indent 2"/>
    <w:basedOn w:val="1"/>
    <w:link w:val="33"/>
    <w:qFormat/>
    <w:uiPriority w:val="99"/>
    <w:pPr>
      <w:spacing w:line="588" w:lineRule="atLeast"/>
      <w:ind w:firstLine="640"/>
    </w:pPr>
    <w:rPr>
      <w:rFonts w:eastAsia="方正仿宋_GBK"/>
      <w:spacing w:val="6"/>
      <w:sz w:val="30"/>
    </w:rPr>
  </w:style>
  <w:style w:type="paragraph" w:styleId="12">
    <w:name w:val="Balloon Text"/>
    <w:basedOn w:val="1"/>
    <w:link w:val="34"/>
    <w:unhideWhenUsed/>
    <w:qFormat/>
    <w:uiPriority w:val="99"/>
    <w:rPr>
      <w:rFonts w:ascii="Times New Roman" w:hAnsi="Times New Roman"/>
      <w:sz w:val="18"/>
      <w:szCs w:val="18"/>
    </w:rPr>
  </w:style>
  <w:style w:type="paragraph" w:styleId="13">
    <w:name w:val="footer"/>
    <w:basedOn w:val="1"/>
    <w:next w:val="1"/>
    <w:link w:val="35"/>
    <w:unhideWhenUsed/>
    <w:qFormat/>
    <w:uiPriority w:val="99"/>
    <w:pPr>
      <w:tabs>
        <w:tab w:val="center" w:pos="4153"/>
        <w:tab w:val="right" w:pos="8306"/>
      </w:tabs>
      <w:snapToGrid w:val="0"/>
      <w:jc w:val="left"/>
    </w:pPr>
    <w:rPr>
      <w:kern w:val="0"/>
      <w:sz w:val="18"/>
      <w:szCs w:val="18"/>
    </w:rPr>
  </w:style>
  <w:style w:type="paragraph" w:styleId="14">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footnote text"/>
    <w:basedOn w:val="1"/>
    <w:qFormat/>
    <w:uiPriority w:val="0"/>
    <w:pPr>
      <w:snapToGrid w:val="0"/>
      <w:jc w:val="left"/>
    </w:pPr>
    <w:rPr>
      <w:sz w:val="18"/>
    </w:rPr>
  </w:style>
  <w:style w:type="paragraph" w:styleId="16">
    <w:name w:val="Body Text 2"/>
    <w:basedOn w:val="1"/>
    <w:qFormat/>
    <w:uiPriority w:val="0"/>
    <w:pPr>
      <w:spacing w:after="120" w:line="480" w:lineRule="auto"/>
    </w:pPr>
    <w:rPr>
      <w:rFonts w:eastAsia="仿宋_GB2312"/>
      <w:sz w:val="32"/>
      <w:szCs w:val="20"/>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0"/>
    </w:rPr>
  </w:style>
  <w:style w:type="paragraph" w:styleId="18">
    <w:name w:val="Title"/>
    <w:basedOn w:val="1"/>
    <w:next w:val="1"/>
    <w:qFormat/>
    <w:uiPriority w:val="10"/>
    <w:pPr>
      <w:spacing w:before="0" w:after="0" w:line="480" w:lineRule="auto"/>
      <w:jc w:val="center"/>
      <w:outlineLvl w:val="0"/>
    </w:pPr>
    <w:rPr>
      <w:rFonts w:ascii="Calibri Light" w:hAnsi="Calibri Light" w:eastAsia="宋体" w:cs="Times New Roman"/>
      <w:b/>
      <w:bCs/>
      <w:color w:val="auto"/>
      <w:sz w:val="48"/>
      <w:szCs w:val="32"/>
    </w:rPr>
  </w:style>
  <w:style w:type="paragraph" w:styleId="19">
    <w:name w:val="Body Text First Indent"/>
    <w:basedOn w:val="6"/>
    <w:link w:val="37"/>
    <w:unhideWhenUsed/>
    <w:qFormat/>
    <w:uiPriority w:val="99"/>
    <w:pPr>
      <w:ind w:firstLine="420" w:firstLineChars="100"/>
    </w:pPr>
    <w:rPr>
      <w:kern w:val="2"/>
      <w:sz w:val="21"/>
      <w:szCs w:val="22"/>
    </w:rPr>
  </w:style>
  <w:style w:type="paragraph" w:styleId="20">
    <w:name w:val="Body Text First Indent 2"/>
    <w:basedOn w:val="7"/>
    <w:next w:val="1"/>
    <w:link w:val="38"/>
    <w:unhideWhenUsed/>
    <w:qFormat/>
    <w:uiPriority w:val="99"/>
    <w:pPr>
      <w:ind w:firstLine="420" w:firstLineChars="200"/>
    </w:pPr>
    <w:rPr>
      <w:rFonts w:eastAsia="仿宋_GB2312"/>
    </w:rPr>
  </w:style>
  <w:style w:type="table" w:styleId="22">
    <w:name w:val="Table Grid"/>
    <w:basedOn w:val="21"/>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nhideWhenUsed/>
    <w:qFormat/>
    <w:uiPriority w:val="0"/>
  </w:style>
  <w:style w:type="character" w:styleId="25">
    <w:name w:val="FollowedHyperlink"/>
    <w:unhideWhenUsed/>
    <w:qFormat/>
    <w:uiPriority w:val="99"/>
    <w:rPr>
      <w:color w:val="000000"/>
      <w:sz w:val="18"/>
      <w:szCs w:val="18"/>
      <w:u w:val="none"/>
    </w:rPr>
  </w:style>
  <w:style w:type="character" w:styleId="26">
    <w:name w:val="Hyperlink"/>
    <w:unhideWhenUsed/>
    <w:qFormat/>
    <w:uiPriority w:val="99"/>
    <w:rPr>
      <w:color w:val="000000"/>
      <w:sz w:val="18"/>
      <w:szCs w:val="18"/>
      <w:u w:val="none"/>
    </w:rPr>
  </w:style>
  <w:style w:type="paragraph" w:customStyle="1" w:styleId="27">
    <w:name w:val="正文2"/>
    <w:basedOn w:val="1"/>
    <w:next w:val="1"/>
    <w:qFormat/>
    <w:uiPriority w:val="0"/>
    <w:rPr>
      <w:rFonts w:ascii="Times New Roman" w:hAnsi="Times New Roman"/>
      <w:szCs w:val="21"/>
    </w:rPr>
  </w:style>
  <w:style w:type="character" w:customStyle="1" w:styleId="28">
    <w:name w:val="标题 4 字符"/>
    <w:link w:val="3"/>
    <w:qFormat/>
    <w:uiPriority w:val="0"/>
    <w:rPr>
      <w:rFonts w:ascii="Cambria" w:hAnsi="Cambria" w:eastAsia="宋体" w:cs="Times New Roman"/>
      <w:b/>
      <w:bCs/>
      <w:kern w:val="2"/>
      <w:sz w:val="28"/>
      <w:szCs w:val="28"/>
    </w:rPr>
  </w:style>
  <w:style w:type="character" w:customStyle="1" w:styleId="29">
    <w:name w:val="正文文本 字符"/>
    <w:link w:val="6"/>
    <w:qFormat/>
    <w:uiPriority w:val="99"/>
  </w:style>
  <w:style w:type="character" w:customStyle="1" w:styleId="30">
    <w:name w:val="正文文本缩进 字符"/>
    <w:link w:val="7"/>
    <w:semiHidden/>
    <w:qFormat/>
    <w:uiPriority w:val="99"/>
    <w:rPr>
      <w:rFonts w:ascii="Times New Roman" w:hAnsi="Times New Roman"/>
      <w:kern w:val="2"/>
      <w:sz w:val="21"/>
      <w:szCs w:val="21"/>
    </w:rPr>
  </w:style>
  <w:style w:type="character" w:customStyle="1" w:styleId="31">
    <w:name w:val="纯文本 字符"/>
    <w:link w:val="9"/>
    <w:qFormat/>
    <w:uiPriority w:val="0"/>
    <w:rPr>
      <w:rFonts w:hint="eastAsia" w:ascii="宋体" w:hAnsi="Courier New" w:eastAsia="宋体" w:cs="宋体"/>
      <w:kern w:val="2"/>
      <w:sz w:val="21"/>
      <w:szCs w:val="22"/>
    </w:rPr>
  </w:style>
  <w:style w:type="character" w:customStyle="1" w:styleId="32">
    <w:name w:val="日期 字符"/>
    <w:link w:val="10"/>
    <w:semiHidden/>
    <w:qFormat/>
    <w:uiPriority w:val="99"/>
  </w:style>
  <w:style w:type="character" w:customStyle="1" w:styleId="33">
    <w:name w:val="正文文本缩进 2 字符"/>
    <w:link w:val="11"/>
    <w:qFormat/>
    <w:uiPriority w:val="0"/>
    <w:rPr>
      <w:rFonts w:hint="eastAsia" w:ascii="方正仿宋_GBK" w:hAnsi="方正仿宋_GBK" w:eastAsia="方正仿宋_GBK" w:cs="方正仿宋_GBK"/>
      <w:spacing w:val="6"/>
      <w:kern w:val="2"/>
      <w:sz w:val="30"/>
      <w:szCs w:val="22"/>
    </w:rPr>
  </w:style>
  <w:style w:type="character" w:customStyle="1" w:styleId="34">
    <w:name w:val="批注框文本 字符"/>
    <w:link w:val="12"/>
    <w:semiHidden/>
    <w:qFormat/>
    <w:uiPriority w:val="99"/>
    <w:rPr>
      <w:rFonts w:ascii="Times New Roman" w:hAnsi="Times New Roman"/>
      <w:kern w:val="2"/>
      <w:sz w:val="18"/>
      <w:szCs w:val="18"/>
    </w:rPr>
  </w:style>
  <w:style w:type="character" w:customStyle="1" w:styleId="35">
    <w:name w:val="页脚 字符"/>
    <w:link w:val="13"/>
    <w:qFormat/>
    <w:uiPriority w:val="99"/>
    <w:rPr>
      <w:sz w:val="18"/>
      <w:szCs w:val="18"/>
    </w:rPr>
  </w:style>
  <w:style w:type="character" w:customStyle="1" w:styleId="36">
    <w:name w:val="页眉 字符"/>
    <w:link w:val="14"/>
    <w:semiHidden/>
    <w:qFormat/>
    <w:uiPriority w:val="99"/>
    <w:rPr>
      <w:sz w:val="18"/>
      <w:szCs w:val="18"/>
    </w:rPr>
  </w:style>
  <w:style w:type="character" w:customStyle="1" w:styleId="37">
    <w:name w:val="正文首行缩进 字符"/>
    <w:link w:val="19"/>
    <w:qFormat/>
    <w:uiPriority w:val="99"/>
    <w:rPr>
      <w:kern w:val="2"/>
      <w:sz w:val="21"/>
      <w:szCs w:val="22"/>
    </w:rPr>
  </w:style>
  <w:style w:type="character" w:customStyle="1" w:styleId="38">
    <w:name w:val="正文首行缩进 2 字符"/>
    <w:link w:val="20"/>
    <w:qFormat/>
    <w:uiPriority w:val="0"/>
    <w:rPr>
      <w:kern w:val="2"/>
      <w:sz w:val="21"/>
      <w:szCs w:val="22"/>
    </w:rPr>
  </w:style>
  <w:style w:type="paragraph" w:customStyle="1" w:styleId="39">
    <w:name w:val="Default"/>
    <w:next w:val="1"/>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40">
    <w:name w:val="明显引用1"/>
    <w:next w:val="1"/>
    <w:qFormat/>
    <w:uiPriority w:val="0"/>
    <w:pPr>
      <w:wordWrap w:val="0"/>
      <w:ind w:left="950" w:right="950"/>
      <w:jc w:val="center"/>
    </w:pPr>
    <w:rPr>
      <w:rFonts w:ascii="Times New Roman" w:hAnsi="Times New Roman" w:eastAsia="宋体" w:cs="Times New Roman"/>
      <w:i/>
      <w:iCs/>
      <w:sz w:val="21"/>
      <w:szCs w:val="21"/>
      <w:lang w:val="en-US" w:eastAsia="zh-CN" w:bidi="ar-SA"/>
    </w:rPr>
  </w:style>
  <w:style w:type="paragraph" w:customStyle="1" w:styleId="41">
    <w:name w:val="UserStyle_0"/>
    <w:basedOn w:val="42"/>
    <w:qFormat/>
    <w:uiPriority w:val="0"/>
    <w:pPr>
      <w:spacing w:after="120"/>
      <w:ind w:left="420" w:leftChars="200" w:firstLine="420" w:firstLineChars="200"/>
      <w:jc w:val="both"/>
      <w:textAlignment w:val="baseline"/>
    </w:pPr>
    <w:rPr>
      <w:rFonts w:ascii="Calibri" w:hAnsi="Calibri" w:eastAsia="宋体"/>
      <w:kern w:val="2"/>
      <w:sz w:val="21"/>
      <w:szCs w:val="24"/>
      <w:lang w:val="en-US" w:eastAsia="zh-CN" w:bidi="ar-SA"/>
    </w:rPr>
  </w:style>
  <w:style w:type="paragraph" w:customStyle="1" w:styleId="42">
    <w:name w:val="UserStyle_1"/>
    <w:basedOn w:val="1"/>
    <w:next w:val="43"/>
    <w:qFormat/>
    <w:uiPriority w:val="0"/>
    <w:pPr>
      <w:spacing w:after="120"/>
      <w:ind w:left="420" w:leftChars="200"/>
      <w:jc w:val="both"/>
      <w:textAlignment w:val="baseline"/>
    </w:pPr>
    <w:rPr>
      <w:rFonts w:ascii="Calibri" w:hAnsi="Calibri" w:eastAsia="宋体"/>
      <w:kern w:val="2"/>
      <w:sz w:val="21"/>
      <w:szCs w:val="24"/>
      <w:lang w:val="en-US" w:eastAsia="zh-CN" w:bidi="ar-SA"/>
    </w:rPr>
  </w:style>
  <w:style w:type="paragraph" w:customStyle="1" w:styleId="43">
    <w:name w:val="UserStyle_2"/>
    <w:basedOn w:val="1"/>
    <w:qFormat/>
    <w:uiPriority w:val="0"/>
    <w:pPr>
      <w:ind w:firstLine="420" w:firstLineChars="200"/>
      <w:jc w:val="both"/>
      <w:textAlignment w:val="baseline"/>
    </w:pPr>
    <w:rPr>
      <w:rFonts w:ascii="Calibri" w:hAnsi="Calibri" w:eastAsia="仿宋"/>
      <w:kern w:val="2"/>
      <w:sz w:val="32"/>
      <w:szCs w:val="24"/>
      <w:lang w:val="en-US" w:eastAsia="zh-CN" w:bidi="ar-SA"/>
    </w:rPr>
  </w:style>
  <w:style w:type="character" w:customStyle="1" w:styleId="44">
    <w:name w:val="日期 Char1"/>
    <w:semiHidden/>
    <w:qFormat/>
    <w:locked/>
    <w:uiPriority w:val="99"/>
    <w:rPr>
      <w:rFonts w:ascii="Times New Roman" w:hAnsi="Times New Roman"/>
      <w:kern w:val="2"/>
      <w:sz w:val="21"/>
      <w:szCs w:val="22"/>
    </w:rPr>
  </w:style>
  <w:style w:type="character" w:customStyle="1" w:styleId="45">
    <w:name w:val="spl"/>
    <w:qFormat/>
    <w:uiPriority w:val="0"/>
    <w:rPr>
      <w:color w:val="474646"/>
      <w:sz w:val="22"/>
      <w:szCs w:val="22"/>
    </w:rPr>
  </w:style>
  <w:style w:type="character" w:customStyle="1" w:styleId="46">
    <w:name w:val="正文首行缩进 2 Char"/>
    <w:semiHidden/>
    <w:qFormat/>
    <w:uiPriority w:val="99"/>
    <w:rPr>
      <w:rFonts w:ascii="Times New Roman" w:hAnsi="Times New Roman" w:eastAsia="仿宋_GB2312" w:cs="宋体"/>
      <w:kern w:val="2"/>
      <w:sz w:val="21"/>
      <w:szCs w:val="21"/>
    </w:rPr>
  </w:style>
  <w:style w:type="character" w:customStyle="1" w:styleId="47">
    <w:name w:val="font21"/>
    <w:qFormat/>
    <w:uiPriority w:val="0"/>
    <w:rPr>
      <w:rFonts w:hint="eastAsia" w:ascii="宋体" w:hAnsi="宋体" w:eastAsia="宋体" w:cs="宋体"/>
      <w:color w:val="000000"/>
      <w:sz w:val="22"/>
      <w:szCs w:val="22"/>
      <w:u w:val="none"/>
    </w:rPr>
  </w:style>
  <w:style w:type="character" w:customStyle="1" w:styleId="48">
    <w:name w:val="10"/>
    <w:qFormat/>
    <w:uiPriority w:val="0"/>
    <w:rPr>
      <w:rFonts w:hint="default" w:ascii="Calibri" w:hAnsi="Calibri"/>
    </w:rPr>
  </w:style>
  <w:style w:type="character" w:customStyle="1" w:styleId="49">
    <w:name w:val="正文文本 Char"/>
    <w:qFormat/>
    <w:uiPriority w:val="0"/>
    <w:rPr>
      <w:szCs w:val="24"/>
    </w:rPr>
  </w:style>
  <w:style w:type="character" w:customStyle="1" w:styleId="50">
    <w:name w:val="15"/>
    <w:basedOn w:val="23"/>
    <w:qFormat/>
    <w:uiPriority w:val="0"/>
    <w:rPr>
      <w:rFonts w:hint="default" w:ascii="Calibri" w:hAnsi="Calibri"/>
      <w:color w:val="000000"/>
      <w:sz w:val="18"/>
      <w:szCs w:val="18"/>
    </w:rPr>
  </w:style>
  <w:style w:type="character" w:customStyle="1" w:styleId="51">
    <w:name w:val="spr1"/>
    <w:qFormat/>
    <w:uiPriority w:val="0"/>
  </w:style>
  <w:style w:type="character" w:customStyle="1" w:styleId="52">
    <w:name w:val="spr"/>
    <w:qFormat/>
    <w:uiPriority w:val="0"/>
  </w:style>
  <w:style w:type="character" w:customStyle="1" w:styleId="53">
    <w:name w:val="spl1"/>
    <w:qFormat/>
    <w:uiPriority w:val="0"/>
    <w:rPr>
      <w:color w:val="474646"/>
      <w:sz w:val="22"/>
      <w:szCs w:val="22"/>
    </w:rPr>
  </w:style>
  <w:style w:type="character" w:customStyle="1" w:styleId="54">
    <w:name w:val="正文文本 Char2"/>
    <w:qFormat/>
    <w:locked/>
    <w:uiPriority w:val="99"/>
    <w:rPr>
      <w:rFonts w:ascii="Times New Roman" w:hAnsi="Times New Roman"/>
      <w:kern w:val="2"/>
      <w:sz w:val="21"/>
      <w:szCs w:val="24"/>
    </w:rPr>
  </w:style>
  <w:style w:type="character" w:customStyle="1" w:styleId="55">
    <w:name w:val="页眉 Char1"/>
    <w:semiHidden/>
    <w:qFormat/>
    <w:locked/>
    <w:uiPriority w:val="99"/>
    <w:rPr>
      <w:rFonts w:ascii="Times New Roman" w:hAnsi="Times New Roman"/>
      <w:sz w:val="18"/>
      <w:szCs w:val="18"/>
    </w:rPr>
  </w:style>
  <w:style w:type="character" w:customStyle="1" w:styleId="56">
    <w:name w:val="16"/>
    <w:qFormat/>
    <w:uiPriority w:val="0"/>
    <w:rPr>
      <w:rFonts w:hint="default" w:ascii="Calibri" w:hAnsi="Calibri"/>
    </w:rPr>
  </w:style>
  <w:style w:type="character" w:customStyle="1" w:styleId="57">
    <w:name w:val="页脚 Char1"/>
    <w:semiHidden/>
    <w:qFormat/>
    <w:locked/>
    <w:uiPriority w:val="99"/>
    <w:rPr>
      <w:rFonts w:ascii="Times New Roman" w:hAnsi="Times New Roman"/>
      <w:sz w:val="18"/>
      <w:szCs w:val="18"/>
    </w:rPr>
  </w:style>
  <w:style w:type="character" w:customStyle="1" w:styleId="58">
    <w:name w:val="二级标题 Char"/>
    <w:link w:val="59"/>
    <w:qFormat/>
    <w:locked/>
    <w:uiPriority w:val="0"/>
    <w:rPr>
      <w:rFonts w:ascii="楷体_GB2312" w:eastAsia="楷体_GB2312"/>
      <w:sz w:val="32"/>
      <w:szCs w:val="24"/>
    </w:rPr>
  </w:style>
  <w:style w:type="paragraph" w:customStyle="1" w:styleId="59">
    <w:name w:val="二级标题"/>
    <w:basedOn w:val="60"/>
    <w:next w:val="60"/>
    <w:link w:val="58"/>
    <w:qFormat/>
    <w:uiPriority w:val="0"/>
    <w:pPr>
      <w:outlineLvl w:val="3"/>
    </w:pPr>
    <w:rPr>
      <w:rFonts w:ascii="楷体_GB2312" w:eastAsia="楷体_GB2312"/>
      <w:sz w:val="32"/>
      <w:szCs w:val="24"/>
    </w:rPr>
  </w:style>
  <w:style w:type="paragraph" w:customStyle="1" w:styleId="60">
    <w:name w:val="公文主体"/>
    <w:basedOn w:val="1"/>
    <w:qFormat/>
    <w:uiPriority w:val="0"/>
    <w:pPr>
      <w:spacing w:line="580" w:lineRule="exact"/>
      <w:ind w:firstLine="200" w:firstLineChars="200"/>
    </w:pPr>
    <w:rPr>
      <w:rFonts w:ascii="仿宋_GB2312" w:hAnsi="Calibri" w:eastAsia="仿宋_GB2312"/>
      <w:kern w:val="0"/>
      <w:sz w:val="24"/>
      <w:szCs w:val="20"/>
    </w:rPr>
  </w:style>
  <w:style w:type="character" w:customStyle="1" w:styleId="61">
    <w:name w:val="NormalCharacter"/>
    <w:link w:val="62"/>
    <w:qFormat/>
    <w:uiPriority w:val="0"/>
    <w:rPr>
      <w:rFonts w:ascii="Verdana" w:hAnsi="Verdana"/>
      <w:kern w:val="0"/>
      <w:sz w:val="20"/>
      <w:szCs w:val="21"/>
      <w:lang w:eastAsia="en-US"/>
    </w:rPr>
  </w:style>
  <w:style w:type="paragraph" w:customStyle="1" w:styleId="62">
    <w:name w:val="UserStyle_4"/>
    <w:basedOn w:val="1"/>
    <w:link w:val="61"/>
    <w:qFormat/>
    <w:uiPriority w:val="0"/>
    <w:pPr>
      <w:widowControl/>
      <w:spacing w:after="160" w:line="240" w:lineRule="exact"/>
      <w:jc w:val="left"/>
      <w:textAlignment w:val="baseline"/>
    </w:pPr>
    <w:rPr>
      <w:rFonts w:ascii="Verdana" w:hAnsi="Verdana"/>
      <w:kern w:val="0"/>
      <w:sz w:val="20"/>
      <w:szCs w:val="21"/>
      <w:lang w:eastAsia="en-US"/>
    </w:rPr>
  </w:style>
  <w:style w:type="paragraph" w:customStyle="1" w:styleId="63">
    <w:name w:val="11公文正文标题1"/>
    <w:basedOn w:val="64"/>
    <w:next w:val="64"/>
    <w:qFormat/>
    <w:uiPriority w:val="0"/>
    <w:rPr>
      <w:rFonts w:ascii="黑体" w:hAnsi="黑体" w:eastAsia="黑体"/>
      <w:szCs w:val="20"/>
    </w:rPr>
  </w:style>
  <w:style w:type="paragraph" w:customStyle="1" w:styleId="64">
    <w:name w:val="15公文正文"/>
    <w:basedOn w:val="1"/>
    <w:link w:val="66"/>
    <w:qFormat/>
    <w:uiPriority w:val="0"/>
    <w:pPr>
      <w:snapToGrid w:val="0"/>
      <w:spacing w:line="600" w:lineRule="exact"/>
      <w:ind w:firstLine="880" w:firstLineChars="200"/>
    </w:pPr>
    <w:rPr>
      <w:rFonts w:ascii="Times New Roman" w:hAnsi="Times New Roman" w:eastAsia="方正仿宋_GBK"/>
      <w:kern w:val="0"/>
      <w:sz w:val="32"/>
      <w:szCs w:val="32"/>
    </w:rPr>
  </w:style>
  <w:style w:type="character" w:customStyle="1" w:styleId="65">
    <w:name w:val="15公文正文 Char1"/>
    <w:link w:val="64"/>
    <w:qFormat/>
    <w:locked/>
    <w:uiPriority w:val="0"/>
    <w:rPr>
      <w:rFonts w:ascii="仿宋_GB2312" w:hAnsi="仿宋_GB2312" w:eastAsia="方正仿宋_GBK"/>
      <w:sz w:val="32"/>
      <w:szCs w:val="21"/>
    </w:rPr>
  </w:style>
  <w:style w:type="character" w:customStyle="1" w:styleId="66">
    <w:name w:val="15公文正文 Char"/>
    <w:link w:val="64"/>
    <w:qFormat/>
    <w:uiPriority w:val="0"/>
    <w:rPr>
      <w:rFonts w:ascii="Times New Roman" w:hAnsi="Times New Roman" w:eastAsia="方正仿宋_GBK"/>
      <w:kern w:val="0"/>
      <w:sz w:val="32"/>
      <w:szCs w:val="32"/>
    </w:rPr>
  </w:style>
  <w:style w:type="paragraph" w:styleId="67">
    <w:name w:val="List Paragraph"/>
    <w:basedOn w:val="1"/>
    <w:qFormat/>
    <w:uiPriority w:val="34"/>
    <w:pPr>
      <w:ind w:firstLine="420" w:firstLineChars="200"/>
    </w:pPr>
  </w:style>
  <w:style w:type="paragraph" w:customStyle="1" w:styleId="68">
    <w:name w:val="17.0公文附件"/>
    <w:basedOn w:val="64"/>
    <w:qFormat/>
    <w:uiPriority w:val="0"/>
    <w:pPr>
      <w:spacing w:before="100" w:beforeAutospacing="1" w:after="100" w:afterAutospacing="1"/>
      <w:ind w:left="1730" w:leftChars="300" w:hanging="1100" w:hangingChars="250"/>
    </w:pPr>
    <w:rPr>
      <w:kern w:val="2"/>
    </w:rPr>
  </w:style>
  <w:style w:type="paragraph" w:customStyle="1" w:styleId="69">
    <w:name w:val="10公文主送机关"/>
    <w:basedOn w:val="1"/>
    <w:qFormat/>
    <w:uiPriority w:val="0"/>
    <w:pPr>
      <w:spacing w:line="600" w:lineRule="exact"/>
    </w:pPr>
    <w:rPr>
      <w:rFonts w:ascii="方正仿宋_GBK" w:hAnsi="宋体" w:eastAsia="方正仿宋_GBK" w:cs="宋体"/>
      <w:sz w:val="32"/>
      <w:szCs w:val="32"/>
    </w:rPr>
  </w:style>
  <w:style w:type="paragraph" w:customStyle="1" w:styleId="70">
    <w:name w:val="17.1公文附件1"/>
    <w:basedOn w:val="1"/>
    <w:next w:val="1"/>
    <w:qFormat/>
    <w:uiPriority w:val="0"/>
    <w:pPr>
      <w:snapToGrid w:val="0"/>
      <w:spacing w:before="100" w:beforeAutospacing="1" w:after="100" w:afterAutospacing="1" w:line="600" w:lineRule="exact"/>
      <w:ind w:left="2610" w:leftChars="300" w:hanging="1980" w:hangingChars="450"/>
    </w:pPr>
    <w:rPr>
      <w:rFonts w:ascii="Times New Roman" w:hAnsi="Times New Roman" w:eastAsia="方正仿宋_GBK"/>
      <w:bCs/>
      <w:color w:val="000000"/>
      <w:sz w:val="32"/>
      <w:szCs w:val="32"/>
    </w:rPr>
  </w:style>
  <w:style w:type="paragraph" w:customStyle="1" w:styleId="71">
    <w:name w:val="17.2公文附件2"/>
    <w:basedOn w:val="1"/>
    <w:next w:val="70"/>
    <w:qFormat/>
    <w:uiPriority w:val="0"/>
    <w:pPr>
      <w:snapToGrid w:val="0"/>
      <w:spacing w:before="100" w:beforeAutospacing="1" w:after="100" w:afterAutospacing="1" w:line="600" w:lineRule="exact"/>
      <w:ind w:left="2340" w:leftChars="800" w:hanging="660" w:hangingChars="150"/>
    </w:pPr>
    <w:rPr>
      <w:rFonts w:ascii="Times New Roman" w:hAnsi="Times New Roman" w:eastAsia="方正仿宋_GBK"/>
      <w:bCs/>
      <w:color w:val="000000"/>
      <w:sz w:val="32"/>
      <w:szCs w:val="32"/>
    </w:rPr>
  </w:style>
  <w:style w:type="paragraph" w:customStyle="1" w:styleId="72">
    <w:name w:val="00公文标题"/>
    <w:basedOn w:val="1"/>
    <w:qFormat/>
    <w:uiPriority w:val="0"/>
    <w:pPr>
      <w:snapToGrid w:val="0"/>
      <w:spacing w:line="600" w:lineRule="exact"/>
      <w:jc w:val="center"/>
    </w:pPr>
    <w:rPr>
      <w:rFonts w:ascii="方正小标宋_GBK" w:hAnsi="宋体" w:eastAsia="方正小标宋_GBK" w:cs="宋体"/>
      <w:sz w:val="44"/>
      <w:szCs w:val="44"/>
    </w:rPr>
  </w:style>
  <w:style w:type="paragraph" w:customStyle="1" w:styleId="73">
    <w:name w:val="正文 A"/>
    <w:basedOn w:val="1"/>
    <w:qFormat/>
    <w:uiPriority w:val="0"/>
    <w:rPr>
      <w:rFonts w:ascii="Arial Unicode MS" w:hAnsi="Arial Unicode MS" w:cs="Arial Unicode MS"/>
      <w:color w:val="000000"/>
      <w:szCs w:val="21"/>
      <w:u w:val="none" w:color="000000"/>
    </w:rPr>
  </w:style>
  <w:style w:type="paragraph" w:customStyle="1" w:styleId="74">
    <w:name w:val="21附件头"/>
    <w:basedOn w:val="64"/>
    <w:qFormat/>
    <w:uiPriority w:val="0"/>
    <w:pPr>
      <w:ind w:firstLine="0" w:firstLineChars="0"/>
    </w:pPr>
    <w:rPr>
      <w:rFonts w:ascii="方正小标宋_GBK" w:hAnsi="方正小标宋_GBK" w:eastAsia="方正黑体_GBK" w:cs="方正小标宋_GBK"/>
      <w:kern w:val="2"/>
    </w:rPr>
  </w:style>
  <w:style w:type="paragraph" w:customStyle="1" w:styleId="75">
    <w:name w:val="首行缩进"/>
    <w:basedOn w:val="1"/>
    <w:qFormat/>
    <w:uiPriority w:val="0"/>
    <w:pPr>
      <w:spacing w:line="360" w:lineRule="auto"/>
      <w:ind w:firstLine="480" w:firstLineChars="200"/>
    </w:pPr>
    <w:rPr>
      <w:rFonts w:ascii="宋体" w:hAnsi="宋体" w:cs="宋体"/>
      <w:kern w:val="0"/>
      <w:sz w:val="24"/>
    </w:rPr>
  </w:style>
  <w:style w:type="paragraph" w:customStyle="1" w:styleId="76">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7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78">
    <w:name w:val="公文正文"/>
    <w:basedOn w:val="1"/>
    <w:qFormat/>
    <w:uiPriority w:val="0"/>
    <w:pPr>
      <w:spacing w:line="560" w:lineRule="exact"/>
      <w:ind w:firstLine="200" w:firstLineChars="200"/>
    </w:pPr>
    <w:rPr>
      <w:rFonts w:ascii="仿宋_GB2312" w:hAnsi="仿宋_GB2312" w:eastAsia="仿宋_GB2312" w:cs="仿宋_GB2312"/>
      <w:sz w:val="32"/>
      <w:szCs w:val="32"/>
    </w:rPr>
  </w:style>
  <w:style w:type="paragraph" w:customStyle="1" w:styleId="79">
    <w:name w:val="p0"/>
    <w:basedOn w:val="1"/>
    <w:qFormat/>
    <w:uiPriority w:val="0"/>
    <w:pPr>
      <w:widowControl/>
    </w:pPr>
    <w:rPr>
      <w:rFonts w:ascii="Times New Roman" w:hAnsi="Times New Roman"/>
      <w:kern w:val="0"/>
      <w:sz w:val="32"/>
      <w:szCs w:val="32"/>
    </w:rPr>
  </w:style>
  <w:style w:type="paragraph" w:customStyle="1" w:styleId="80">
    <w:name w:val="Normal Indent1"/>
    <w:basedOn w:val="1"/>
    <w:qFormat/>
    <w:uiPriority w:val="0"/>
    <w:pPr>
      <w:ind w:firstLine="420" w:firstLineChars="200"/>
    </w:pPr>
    <w:rPr>
      <w:rFonts w:ascii="Times New Roman" w:hAnsi="Times New Roman"/>
      <w:szCs w:val="21"/>
    </w:rPr>
  </w:style>
  <w:style w:type="paragraph" w:customStyle="1" w:styleId="81">
    <w:name w:val="19公文落款"/>
    <w:basedOn w:val="1"/>
    <w:qFormat/>
    <w:uiPriority w:val="0"/>
    <w:pPr>
      <w:spacing w:before="100" w:beforeAutospacing="1" w:after="100" w:afterAutospacing="1" w:line="300" w:lineRule="auto"/>
      <w:ind w:left="2940" w:leftChars="1400"/>
      <w:jc w:val="center"/>
    </w:pPr>
    <w:rPr>
      <w:rFonts w:ascii="Times New Roman" w:hAnsi="Times New Roman" w:eastAsia="方正仿宋_GBK"/>
      <w:kern w:val="0"/>
      <w:sz w:val="32"/>
      <w:szCs w:val="32"/>
    </w:rPr>
  </w:style>
  <w:style w:type="character" w:customStyle="1" w:styleId="82">
    <w:name w:val="12公文正文标题2 Char"/>
    <w:qFormat/>
    <w:uiPriority w:val="0"/>
    <w:rPr>
      <w:rFonts w:ascii="方正楷体_GBK" w:hAnsi="方正楷体_GBK" w:eastAsia="方正楷体_GBK" w:cs="方正楷体_GBK"/>
      <w:kern w:val="0"/>
      <w:sz w:val="32"/>
      <w:szCs w:val="32"/>
    </w:rPr>
  </w:style>
  <w:style w:type="paragraph" w:customStyle="1" w:styleId="83">
    <w:name w:val="12公文正文标题2"/>
    <w:basedOn w:val="1"/>
    <w:next w:val="64"/>
    <w:link w:val="84"/>
    <w:qFormat/>
    <w:uiPriority w:val="0"/>
    <w:pPr>
      <w:spacing w:line="560" w:lineRule="exact"/>
      <w:ind w:firstLine="880" w:firstLineChars="200"/>
      <w:outlineLvl w:val="3"/>
    </w:pPr>
    <w:rPr>
      <w:rFonts w:ascii="方正楷体_GBK" w:hAnsi="方正楷体_GBK" w:eastAsia="方正楷体_GBK" w:cs="方正楷体_GBK"/>
      <w:kern w:val="0"/>
      <w:sz w:val="32"/>
      <w:szCs w:val="32"/>
    </w:rPr>
  </w:style>
  <w:style w:type="character" w:customStyle="1" w:styleId="84">
    <w:name w:val="12公文正文标题2 Char1"/>
    <w:link w:val="83"/>
    <w:qFormat/>
    <w:uiPriority w:val="0"/>
    <w:rPr>
      <w:rFonts w:ascii="方正楷体_GBK" w:hAnsi="方正楷体_GBK" w:eastAsia="方正楷体_GBK" w:cs="方正楷体_GBK"/>
      <w:kern w:val="0"/>
      <w:sz w:val="32"/>
      <w:szCs w:val="32"/>
    </w:rPr>
  </w:style>
  <w:style w:type="paragraph" w:customStyle="1" w:styleId="85">
    <w:name w:val="25表格图片说明"/>
    <w:basedOn w:val="1"/>
    <w:qFormat/>
    <w:uiPriority w:val="0"/>
    <w:pPr>
      <w:spacing w:before="50" w:beforeLines="50" w:after="50" w:afterLines="50"/>
      <w:jc w:val="center"/>
    </w:pPr>
    <w:rPr>
      <w:rFonts w:hint="eastAsia" w:ascii="Times New Roman" w:hAnsi="Times New Roman" w:eastAsia="黑体" w:cs="黑体"/>
      <w:sz w:val="21"/>
      <w:szCs w:val="30"/>
    </w:rPr>
  </w:style>
  <w:style w:type="paragraph" w:customStyle="1" w:styleId="86">
    <w:name w:val="Heading #2|1"/>
    <w:basedOn w:val="1"/>
    <w:qFormat/>
    <w:uiPriority w:val="0"/>
    <w:pPr>
      <w:widowControl w:val="0"/>
      <w:shd w:val="clear" w:color="auto" w:fill="auto"/>
      <w:spacing w:after="540" w:line="269" w:lineRule="auto"/>
      <w:ind w:firstLine="110"/>
      <w:outlineLvl w:val="1"/>
    </w:pPr>
    <w:rPr>
      <w:rFonts w:ascii="宋体" w:hAnsi="宋体" w:eastAsia="宋体" w:cs="宋体"/>
      <w:sz w:val="44"/>
      <w:szCs w:val="44"/>
      <w:u w:val="none"/>
      <w:shd w:val="clear" w:color="auto" w:fill="auto"/>
      <w:lang w:val="zh-TW" w:eastAsia="zh-TW" w:bidi="zh-TW"/>
    </w:rPr>
  </w:style>
  <w:style w:type="paragraph" w:customStyle="1" w:styleId="87">
    <w:name w:val="Body text|1"/>
    <w:basedOn w:val="1"/>
    <w:qFormat/>
    <w:uiPriority w:val="0"/>
    <w:pPr>
      <w:widowControl w:val="0"/>
      <w:shd w:val="clear" w:color="auto" w:fill="auto"/>
      <w:spacing w:line="386" w:lineRule="auto"/>
      <w:ind w:firstLine="400"/>
    </w:pPr>
    <w:rPr>
      <w:rFonts w:ascii="宋体" w:hAnsi="宋体" w:eastAsia="宋体" w:cs="宋体"/>
      <w:sz w:val="32"/>
      <w:szCs w:val="32"/>
      <w:u w:val="none"/>
      <w:shd w:val="clear" w:color="auto" w:fill="auto"/>
      <w:lang w:val="zh-TW" w:eastAsia="zh-TW" w:bidi="zh-TW"/>
    </w:rPr>
  </w:style>
  <w:style w:type="paragraph" w:customStyle="1" w:styleId="88">
    <w:name w:val="Body text|2"/>
    <w:basedOn w:val="1"/>
    <w:qFormat/>
    <w:uiPriority w:val="0"/>
    <w:pPr>
      <w:widowControl w:val="0"/>
      <w:shd w:val="clear" w:color="auto" w:fill="auto"/>
      <w:spacing w:after="680"/>
    </w:pPr>
    <w:rPr>
      <w:sz w:val="32"/>
      <w:szCs w:val="32"/>
      <w:u w:val="none"/>
      <w:shd w:val="clear" w:color="auto" w:fill="auto"/>
      <w:lang w:val="zh-TW" w:eastAsia="zh-TW" w:bidi="zh-TW"/>
    </w:rPr>
  </w:style>
  <w:style w:type="character" w:customStyle="1" w:styleId="89">
    <w:name w:val="13公文正文标题3 Char"/>
    <w:link w:val="90"/>
    <w:qFormat/>
    <w:uiPriority w:val="0"/>
    <w:rPr>
      <w:rFonts w:hint="eastAsia" w:ascii="方正仿宋_GBK" w:hAnsi="方正仿宋_GBK" w:eastAsia="方正仿宋_GBK" w:cs="方正仿宋_GBK"/>
      <w:b/>
      <w:bCs/>
      <w:sz w:val="32"/>
      <w:szCs w:val="32"/>
    </w:rPr>
  </w:style>
  <w:style w:type="paragraph" w:customStyle="1" w:styleId="90">
    <w:name w:val="13公文正文标题3"/>
    <w:basedOn w:val="1"/>
    <w:link w:val="89"/>
    <w:qFormat/>
    <w:uiPriority w:val="0"/>
    <w:pPr>
      <w:spacing w:line="560" w:lineRule="exact"/>
      <w:ind w:firstLine="880" w:firstLineChars="200"/>
    </w:pPr>
    <w:rPr>
      <w:rFonts w:hint="eastAsia" w:ascii="方正仿宋_GBK" w:hAnsi="方正仿宋_GBK" w:eastAsia="方正仿宋_GBK" w:cs="方正仿宋_GBK"/>
      <w:b/>
      <w:bCs/>
      <w:sz w:val="32"/>
      <w:szCs w:val="32"/>
    </w:rPr>
  </w:style>
  <w:style w:type="character" w:customStyle="1" w:styleId="91">
    <w:name w:val="font11"/>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1695</Words>
  <Characters>1831</Characters>
  <Lines>44</Lines>
  <Paragraphs>12</Paragraphs>
  <TotalTime>44</TotalTime>
  <ScaleCrop>false</ScaleCrop>
  <LinksUpToDate>false</LinksUpToDate>
  <CharactersWithSpaces>2099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2022-11-24T09:19:00Z</dcterms:created>
  <dc:creator>魏上云</dc:creator>
  <cp:lastModifiedBy>Administrator</cp:lastModifiedBy>
  <cp:lastPrinted>2025-02-13T03:05:00Z</cp:lastPrinted>
  <dcterms:modified xsi:type="dcterms:W3CDTF">2025-02-13T07:56:44Z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C1487B58C36940B48115653A2B9C68C7_13</vt:lpwstr>
  </property>
  <property fmtid="{D5CDD505-2E9C-101B-9397-08002B2CF9AE}" pid="4" name="KSOTemplateDocerSaveRecord">
    <vt:lpwstr>eyJoZGlkIjoiYjM0ODRkNzM1Y2MzYjAxZmFlMGJkNTgzYzcwZDhiZGEiLCJ1c2VySWQiOiIyODE2MTk4NjgifQ==</vt:lpwstr>
  </property>
</Properties>
</file>