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snapToGrid/>
        <w:spacing w:line="600" w:lineRule="exact"/>
        <w:textAlignment w:val="auto"/>
        <w:rPr>
          <w:rFonts w:hint="eastAsia" w:eastAsia="方正黑体_GBK"/>
          <w:sz w:val="32"/>
          <w:szCs w:val="32"/>
          <w:lang w:val="en-US" w:eastAsia="zh-CN"/>
        </w:rPr>
      </w:pPr>
      <w:r>
        <w:rPr>
          <w:rFonts w:eastAsia="方正黑体_GBK"/>
          <w:sz w:val="32"/>
          <w:szCs w:val="32"/>
        </w:rPr>
        <w:t>附件</w:t>
      </w:r>
      <w:r>
        <w:rPr>
          <w:rFonts w:hint="eastAsia" w:eastAsia="方正黑体_GBK"/>
          <w:sz w:val="32"/>
          <w:szCs w:val="32"/>
          <w:lang w:val="en-US" w:eastAsia="zh-CN"/>
        </w:rPr>
        <w:t>1</w:t>
      </w:r>
    </w:p>
    <w:p>
      <w:pPr>
        <w:keepNext w:val="0"/>
        <w:keepLines w:val="0"/>
        <w:pageBreakBefore w:val="0"/>
        <w:widowControl w:val="0"/>
        <w:kinsoku/>
        <w:wordWrap/>
        <w:overflowPunct/>
        <w:topLinePunct w:val="0"/>
        <w:bidi w:val="0"/>
        <w:adjustRightInd/>
        <w:snapToGrid/>
        <w:spacing w:line="600" w:lineRule="exact"/>
        <w:textAlignment w:val="auto"/>
        <w:rPr>
          <w:rFonts w:eastAsia="方正小标宋_GBK"/>
          <w:sz w:val="44"/>
          <w:szCs w:val="44"/>
        </w:rPr>
      </w:pPr>
    </w:p>
    <w:p>
      <w:pPr>
        <w:spacing w:line="640" w:lineRule="exact"/>
        <w:jc w:val="center"/>
        <w:rPr>
          <w:rFonts w:hint="default" w:ascii="Times New Roman" w:hAnsi="Times New Roman" w:eastAsia="方正小标宋_GBK" w:cs="Times New Roman"/>
          <w:color w:val="000000"/>
          <w:sz w:val="44"/>
          <w:szCs w:val="44"/>
          <w:lang w:eastAsia="zh-CN"/>
        </w:rPr>
      </w:pPr>
      <w:r>
        <w:rPr>
          <w:rFonts w:hint="default" w:ascii="Times New Roman" w:hAnsi="Times New Roman" w:eastAsia="方正小标宋_GBK" w:cs="Times New Roman"/>
          <w:color w:val="000000"/>
          <w:sz w:val="44"/>
          <w:szCs w:val="44"/>
          <w:lang w:eastAsia="zh-CN"/>
        </w:rPr>
        <w:t>四川省消防安全重点单位界定标准（试行）</w:t>
      </w:r>
    </w:p>
    <w:p>
      <w:pPr>
        <w:keepNext w:val="0"/>
        <w:keepLines w:val="0"/>
        <w:pageBreakBefore w:val="0"/>
        <w:widowControl w:val="0"/>
        <w:kinsoku/>
        <w:wordWrap/>
        <w:overflowPunct/>
        <w:topLinePunct w:val="0"/>
        <w:bidi w:val="0"/>
        <w:adjustRightInd/>
        <w:snapToGrid/>
        <w:spacing w:line="600" w:lineRule="exact"/>
        <w:jc w:val="center"/>
        <w:textAlignment w:val="auto"/>
        <w:rPr>
          <w:rFonts w:eastAsia="黑体"/>
          <w:sz w:val="32"/>
          <w:szCs w:val="32"/>
        </w:rPr>
      </w:pPr>
    </w:p>
    <w:p>
      <w:pPr>
        <w:keepNext w:val="0"/>
        <w:keepLines w:val="0"/>
        <w:pageBreakBefore w:val="0"/>
        <w:widowControl w:val="0"/>
        <w:numPr>
          <w:ilvl w:val="0"/>
          <w:numId w:val="1"/>
        </w:numPr>
        <w:kinsoku/>
        <w:wordWrap/>
        <w:overflowPunct/>
        <w:topLinePunct w:val="0"/>
        <w:bidi w:val="0"/>
        <w:adjustRightInd/>
        <w:snapToGrid/>
        <w:spacing w:line="600" w:lineRule="exact"/>
        <w:ind w:firstLine="640" w:firstLineChars="200"/>
        <w:textAlignment w:val="auto"/>
        <w:rPr>
          <w:rFonts w:eastAsia="方正黑体_GBK"/>
          <w:sz w:val="32"/>
          <w:szCs w:val="32"/>
        </w:rPr>
      </w:pPr>
      <w:r>
        <w:rPr>
          <w:rFonts w:eastAsia="方正黑体_GBK"/>
          <w:sz w:val="32"/>
          <w:szCs w:val="32"/>
        </w:rPr>
        <w:t>公众聚集场所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（一）客房数在</w:t>
      </w:r>
      <w:r>
        <w:rPr>
          <w:rFonts w:hint="eastAsia" w:ascii="Times New Roman" w:hAnsi="Times New Roman" w:eastAsia="方正仿宋_GBK" w:cs="Times New Roman"/>
          <w:sz w:val="32"/>
          <w:szCs w:val="32"/>
        </w:rPr>
        <w:t>100</w:t>
      </w:r>
      <w:r>
        <w:rPr>
          <w:rFonts w:hint="eastAsia" w:ascii="方正仿宋_GBK" w:hAnsi="方正仿宋_GBK" w:eastAsia="方正仿宋_GBK" w:cs="方正仿宋_GBK"/>
          <w:sz w:val="32"/>
          <w:szCs w:val="32"/>
        </w:rPr>
        <w:t>间以上，以及设置于地下、半地下客房数在</w:t>
      </w:r>
      <w:r>
        <w:rPr>
          <w:rFonts w:hint="eastAsia" w:ascii="Times New Roman" w:hAnsi="Times New Roman" w:eastAsia="方正仿宋_GBK" w:cs="Times New Roman"/>
          <w:sz w:val="32"/>
          <w:szCs w:val="32"/>
        </w:rPr>
        <w:t>50</w:t>
      </w:r>
      <w:r>
        <w:rPr>
          <w:rFonts w:hint="eastAsia" w:ascii="方正仿宋_GBK" w:hAnsi="方正仿宋_GBK" w:eastAsia="方正仿宋_GBK" w:cs="方正仿宋_GBK"/>
          <w:sz w:val="32"/>
          <w:szCs w:val="32"/>
        </w:rPr>
        <w:t>间以上，或者建筑面积在</w:t>
      </w:r>
      <w:r>
        <w:rPr>
          <w:rFonts w:hint="eastAsia" w:ascii="Times New Roman" w:hAnsi="Times New Roman" w:eastAsia="方正仿宋_GBK" w:cs="Times New Roman"/>
          <w:sz w:val="32"/>
          <w:szCs w:val="32"/>
        </w:rPr>
        <w:t>3000</w:t>
      </w:r>
      <w:r>
        <w:rPr>
          <w:rFonts w:hint="eastAsia" w:ascii="方正仿宋_GBK" w:hAnsi="方正仿宋_GBK" w:eastAsia="方正仿宋_GBK" w:cs="方正仿宋_GBK"/>
          <w:sz w:val="32"/>
          <w:szCs w:val="32"/>
        </w:rPr>
        <w:t>平方米以上的旅馆。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（二）建筑面积在</w:t>
      </w:r>
      <w:r>
        <w:rPr>
          <w:rFonts w:hint="eastAsia" w:ascii="Times New Roman" w:hAnsi="Times New Roman" w:eastAsia="方正仿宋_GBK" w:cs="Times New Roman"/>
          <w:sz w:val="32"/>
          <w:szCs w:val="32"/>
        </w:rPr>
        <w:t>3000</w:t>
      </w:r>
      <w:r>
        <w:rPr>
          <w:rFonts w:hint="eastAsia" w:ascii="方正仿宋_GBK" w:hAnsi="方正仿宋_GBK" w:eastAsia="方正仿宋_GBK" w:cs="方正仿宋_GBK"/>
          <w:sz w:val="32"/>
          <w:szCs w:val="32"/>
        </w:rPr>
        <w:t>平方米以上，以及设置于地下、半地下建筑面积在</w:t>
      </w:r>
      <w:r>
        <w:rPr>
          <w:rFonts w:hint="eastAsia" w:ascii="Times New Roman" w:hAnsi="Times New Roman" w:eastAsia="方正仿宋_GBK" w:cs="Times New Roman"/>
          <w:sz w:val="32"/>
          <w:szCs w:val="32"/>
        </w:rPr>
        <w:t>500</w:t>
      </w:r>
      <w:r>
        <w:rPr>
          <w:rFonts w:hint="eastAsia" w:ascii="方正仿宋_GBK" w:hAnsi="方正仿宋_GBK" w:eastAsia="方正仿宋_GBK" w:cs="方正仿宋_GBK"/>
          <w:sz w:val="32"/>
          <w:szCs w:val="32"/>
        </w:rPr>
        <w:t>平方米以上，且室内经营可燃商品的商场、集贸市场。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成都市建筑面积在</w:t>
      </w:r>
      <w:r>
        <w:rPr>
          <w:rFonts w:hint="eastAsia" w:ascii="Times New Roman" w:hAnsi="Times New Roman" w:eastAsia="方正仿宋_GBK" w:cs="Times New Roman"/>
          <w:sz w:val="32"/>
          <w:szCs w:val="32"/>
        </w:rPr>
        <w:t>5000</w:t>
      </w:r>
      <w:r>
        <w:rPr>
          <w:rFonts w:hint="eastAsia" w:ascii="方正仿宋_GBK" w:hAnsi="方正仿宋_GBK" w:eastAsia="方正仿宋_GBK" w:cs="方正仿宋_GBK"/>
          <w:sz w:val="32"/>
          <w:szCs w:val="32"/>
        </w:rPr>
        <w:t>平方米以上，以及设置于地下、半地下建筑面积在</w:t>
      </w:r>
      <w:r>
        <w:rPr>
          <w:rFonts w:hint="eastAsia" w:ascii="Times New Roman" w:hAnsi="Times New Roman" w:eastAsia="方正仿宋_GBK" w:cs="Times New Roman"/>
          <w:sz w:val="32"/>
          <w:szCs w:val="32"/>
        </w:rPr>
        <w:t>500</w:t>
      </w:r>
      <w:r>
        <w:rPr>
          <w:rFonts w:hint="eastAsia" w:ascii="方正仿宋_GBK" w:hAnsi="方正仿宋_GBK" w:eastAsia="方正仿宋_GBK" w:cs="方正仿宋_GBK"/>
          <w:sz w:val="32"/>
          <w:szCs w:val="32"/>
        </w:rPr>
        <w:t>平方米以上，且室内经营可燃商品的商场、集贸市场。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（三）任一层面积在</w:t>
      </w:r>
      <w:r>
        <w:rPr>
          <w:rFonts w:hint="eastAsia" w:ascii="Times New Roman" w:hAnsi="Times New Roman" w:eastAsia="方正仿宋_GBK" w:cs="Times New Roman"/>
          <w:sz w:val="32"/>
          <w:szCs w:val="32"/>
        </w:rPr>
        <w:t>1500</w:t>
      </w:r>
      <w:r>
        <w:rPr>
          <w:rFonts w:hint="eastAsia" w:ascii="方正仿宋_GBK" w:hAnsi="方正仿宋_GBK" w:eastAsia="方正仿宋_GBK" w:cs="方正仿宋_GBK"/>
          <w:sz w:val="32"/>
          <w:szCs w:val="32"/>
        </w:rPr>
        <w:t>平方米以上或</w:t>
      </w:r>
      <w:r>
        <w:rPr>
          <w:rFonts w:hint="eastAsia" w:ascii="方正仿宋_GBK" w:hAnsi="方正仿宋_GBK" w:eastAsia="方正仿宋_GBK" w:cs="方正仿宋_GBK"/>
          <w:sz w:val="32"/>
          <w:szCs w:val="32"/>
          <w:lang w:val="en-US" w:eastAsia="zh-CN"/>
        </w:rPr>
        <w:t>者</w:t>
      </w:r>
      <w:r>
        <w:rPr>
          <w:rFonts w:hint="eastAsia" w:ascii="方正仿宋_GBK" w:hAnsi="方正仿宋_GBK" w:eastAsia="方正仿宋_GBK" w:cs="方正仿宋_GBK"/>
          <w:sz w:val="32"/>
          <w:szCs w:val="32"/>
        </w:rPr>
        <w:t>总建筑面积在</w:t>
      </w:r>
      <w:r>
        <w:rPr>
          <w:rFonts w:hint="eastAsia" w:ascii="Times New Roman" w:hAnsi="Times New Roman" w:eastAsia="方正仿宋_GBK" w:cs="Times New Roman"/>
          <w:sz w:val="32"/>
          <w:szCs w:val="32"/>
        </w:rPr>
        <w:t>3000</w:t>
      </w:r>
      <w:r>
        <w:rPr>
          <w:rFonts w:hint="eastAsia" w:ascii="方正仿宋_GBK" w:hAnsi="方正仿宋_GBK" w:eastAsia="方正仿宋_GBK" w:cs="方正仿宋_GBK"/>
          <w:sz w:val="32"/>
          <w:szCs w:val="32"/>
        </w:rPr>
        <w:t>平方米以上的不具有娱乐功能的餐饮场所。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（四）建筑面积在</w:t>
      </w:r>
      <w:r>
        <w:rPr>
          <w:rFonts w:hint="eastAsia" w:ascii="Times New Roman" w:hAnsi="Times New Roman" w:eastAsia="方正仿宋_GBK" w:cs="Times New Roman"/>
          <w:sz w:val="32"/>
          <w:szCs w:val="32"/>
        </w:rPr>
        <w:t>3000</w:t>
      </w:r>
      <w:r>
        <w:rPr>
          <w:rFonts w:hint="eastAsia" w:ascii="方正仿宋_GBK" w:hAnsi="方正仿宋_GBK" w:eastAsia="方正仿宋_GBK" w:cs="方正仿宋_GBK"/>
          <w:sz w:val="32"/>
          <w:szCs w:val="32"/>
        </w:rPr>
        <w:t>平方米以上的客运车站候车室、客运码头候船厅、民用机场航站楼。</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（五）观众席在</w:t>
      </w:r>
      <w:r>
        <w:rPr>
          <w:rFonts w:hint="eastAsia" w:ascii="Times New Roman" w:hAnsi="Times New Roman" w:eastAsia="方正仿宋_GBK" w:cs="Times New Roman"/>
          <w:sz w:val="32"/>
          <w:szCs w:val="32"/>
        </w:rPr>
        <w:t>20000</w:t>
      </w:r>
      <w:r>
        <w:rPr>
          <w:rFonts w:hint="eastAsia" w:ascii="方正仿宋_GBK" w:hAnsi="方正仿宋_GBK" w:eastAsia="方正仿宋_GBK" w:cs="方正仿宋_GBK"/>
          <w:sz w:val="32"/>
          <w:szCs w:val="32"/>
        </w:rPr>
        <w:t>座以上的公共体育场、观众席在</w:t>
      </w:r>
      <w:r>
        <w:rPr>
          <w:rFonts w:hint="eastAsia" w:ascii="Times New Roman" w:hAnsi="Times New Roman" w:eastAsia="方正仿宋_GBK" w:cs="Times New Roman"/>
          <w:sz w:val="32"/>
          <w:szCs w:val="32"/>
        </w:rPr>
        <w:t>3000</w:t>
      </w:r>
      <w:r>
        <w:rPr>
          <w:rFonts w:hint="eastAsia" w:ascii="方正仿宋_GBK" w:hAnsi="方正仿宋_GBK" w:eastAsia="方正仿宋_GBK" w:cs="方正仿宋_GBK"/>
          <w:sz w:val="32"/>
          <w:szCs w:val="32"/>
        </w:rPr>
        <w:t>座以上的公共体育馆，座位数大于</w:t>
      </w:r>
      <w:r>
        <w:rPr>
          <w:rFonts w:hint="eastAsia" w:ascii="Times New Roman" w:hAnsi="Times New Roman" w:eastAsia="方正仿宋_GBK" w:cs="Times New Roman"/>
          <w:sz w:val="32"/>
          <w:szCs w:val="32"/>
        </w:rPr>
        <w:t>2000</w:t>
      </w:r>
      <w:r>
        <w:rPr>
          <w:rFonts w:hint="eastAsia" w:ascii="方正仿宋_GBK" w:hAnsi="方正仿宋_GBK" w:eastAsia="方正仿宋_GBK" w:cs="方正仿宋_GBK"/>
          <w:sz w:val="32"/>
          <w:szCs w:val="32"/>
        </w:rPr>
        <w:t>个的公共会堂。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成都市观众席在</w:t>
      </w:r>
      <w:r>
        <w:rPr>
          <w:rFonts w:hint="eastAsia" w:ascii="Times New Roman" w:hAnsi="Times New Roman" w:eastAsia="方正仿宋_GBK" w:cs="Times New Roman"/>
          <w:sz w:val="32"/>
          <w:szCs w:val="32"/>
        </w:rPr>
        <w:t>40000</w:t>
      </w:r>
      <w:r>
        <w:rPr>
          <w:rFonts w:hint="eastAsia" w:ascii="方正仿宋_GBK" w:hAnsi="方正仿宋_GBK" w:eastAsia="方正仿宋_GBK" w:cs="方正仿宋_GBK"/>
          <w:sz w:val="32"/>
          <w:szCs w:val="32"/>
        </w:rPr>
        <w:t>座以上的公共体育场、观众席在</w:t>
      </w:r>
      <w:r>
        <w:rPr>
          <w:rFonts w:hint="eastAsia" w:ascii="Times New Roman" w:hAnsi="Times New Roman" w:eastAsia="方正仿宋_GBK" w:cs="Times New Roman"/>
          <w:sz w:val="32"/>
          <w:szCs w:val="32"/>
        </w:rPr>
        <w:t>6000</w:t>
      </w:r>
      <w:r>
        <w:rPr>
          <w:rFonts w:hint="eastAsia" w:ascii="方正仿宋_GBK" w:hAnsi="方正仿宋_GBK" w:eastAsia="方正仿宋_GBK" w:cs="方正仿宋_GBK"/>
          <w:sz w:val="32"/>
          <w:szCs w:val="32"/>
        </w:rPr>
        <w:t>座以上的公共体育馆，座位数大于</w:t>
      </w:r>
      <w:r>
        <w:rPr>
          <w:rFonts w:hint="eastAsia" w:ascii="Times New Roman" w:hAnsi="Times New Roman" w:eastAsia="方正仿宋_GBK" w:cs="Times New Roman"/>
          <w:sz w:val="32"/>
          <w:szCs w:val="32"/>
        </w:rPr>
        <w:t>2000</w:t>
      </w:r>
      <w:r>
        <w:rPr>
          <w:rFonts w:hint="eastAsia" w:ascii="方正仿宋_GBK" w:hAnsi="方正仿宋_GBK" w:eastAsia="方正仿宋_GBK" w:cs="方正仿宋_GBK"/>
          <w:sz w:val="32"/>
          <w:szCs w:val="32"/>
        </w:rPr>
        <w:t>个的公共会堂。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（六）建筑面积在</w:t>
      </w:r>
      <w:r>
        <w:rPr>
          <w:rFonts w:hint="eastAsia" w:ascii="Times New Roman" w:hAnsi="Times New Roman" w:eastAsia="方正仿宋_GBK" w:cs="Times New Roman"/>
          <w:sz w:val="32"/>
          <w:szCs w:val="32"/>
        </w:rPr>
        <w:t>500</w:t>
      </w:r>
      <w:r>
        <w:rPr>
          <w:rFonts w:hint="eastAsia" w:ascii="方正仿宋_GBK" w:hAnsi="方正仿宋_GBK" w:eastAsia="方正仿宋_GBK" w:cs="方正仿宋_GBK"/>
          <w:sz w:val="32"/>
          <w:szCs w:val="32"/>
        </w:rPr>
        <w:t>平方米以上的公共娱乐场所。</w:t>
      </w:r>
    </w:p>
    <w:p>
      <w:pPr>
        <w:keepNext w:val="0"/>
        <w:keepLines w:val="0"/>
        <w:pageBreakBefore w:val="0"/>
        <w:widowControl w:val="0"/>
        <w:numPr>
          <w:ilvl w:val="0"/>
          <w:numId w:val="1"/>
        </w:numPr>
        <w:kinsoku/>
        <w:wordWrap/>
        <w:overflowPunct/>
        <w:topLinePunct w:val="0"/>
        <w:bidi w:val="0"/>
        <w:adjustRightInd/>
        <w:snapToGrid/>
        <w:spacing w:line="600" w:lineRule="exact"/>
        <w:ind w:firstLine="640" w:firstLineChars="200"/>
        <w:textAlignment w:val="auto"/>
        <w:rPr>
          <w:rFonts w:eastAsia="方正黑体_GBK"/>
          <w:sz w:val="32"/>
          <w:szCs w:val="32"/>
        </w:rPr>
      </w:pPr>
      <w:r>
        <w:rPr>
          <w:rFonts w:eastAsia="方正黑体_GBK"/>
          <w:sz w:val="32"/>
          <w:szCs w:val="32"/>
        </w:rPr>
        <w:t>医院、养老机构和学校、托儿所、幼儿园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（一）床位数在</w:t>
      </w:r>
      <w:r>
        <w:rPr>
          <w:rFonts w:hint="eastAsia" w:ascii="Times New Roman" w:hAnsi="Times New Roman" w:eastAsia="方正仿宋_GBK" w:cs="Times New Roman"/>
          <w:sz w:val="32"/>
          <w:szCs w:val="32"/>
        </w:rPr>
        <w:t>100</w:t>
      </w:r>
      <w:r>
        <w:rPr>
          <w:rFonts w:hint="eastAsia" w:ascii="方正仿宋_GBK" w:hAnsi="方正仿宋_GBK" w:eastAsia="方正仿宋_GBK" w:cs="方正仿宋_GBK"/>
          <w:sz w:val="32"/>
          <w:szCs w:val="32"/>
        </w:rPr>
        <w:t>张以上的医院。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（二）老人住宿床位在</w:t>
      </w:r>
      <w:r>
        <w:rPr>
          <w:rFonts w:hint="eastAsia" w:ascii="Times New Roman" w:hAnsi="Times New Roman" w:eastAsia="方正仿宋_GBK" w:cs="Times New Roman"/>
          <w:sz w:val="32"/>
          <w:szCs w:val="32"/>
        </w:rPr>
        <w:t>50</w:t>
      </w:r>
      <w:r>
        <w:rPr>
          <w:rFonts w:hint="eastAsia" w:ascii="方正仿宋_GBK" w:hAnsi="方正仿宋_GBK" w:eastAsia="方正仿宋_GBK" w:cs="方正仿宋_GBK"/>
          <w:sz w:val="32"/>
          <w:szCs w:val="32"/>
        </w:rPr>
        <w:t>张以上的养老机构。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（三）有</w:t>
      </w:r>
      <w:r>
        <w:rPr>
          <w:rFonts w:hint="eastAsia"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个班以上的托儿所、有</w:t>
      </w:r>
      <w:r>
        <w:rPr>
          <w:rFonts w:hint="eastAsia"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 xml:space="preserve">个班以上的幼儿园。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（四）学生床位在</w:t>
      </w:r>
      <w:r>
        <w:rPr>
          <w:rFonts w:hint="eastAsia" w:ascii="Times New Roman" w:hAnsi="Times New Roman" w:eastAsia="方正仿宋_GBK" w:cs="Times New Roman"/>
          <w:sz w:val="32"/>
          <w:szCs w:val="32"/>
        </w:rPr>
        <w:t>100</w:t>
      </w:r>
      <w:r>
        <w:rPr>
          <w:rFonts w:hint="eastAsia" w:ascii="方正仿宋_GBK" w:hAnsi="方正仿宋_GBK" w:eastAsia="方正仿宋_GBK" w:cs="方正仿宋_GBK"/>
          <w:sz w:val="32"/>
          <w:szCs w:val="32"/>
        </w:rPr>
        <w:t>张以上的小学学校，学生床位在</w:t>
      </w:r>
      <w:r>
        <w:rPr>
          <w:rFonts w:hint="eastAsia" w:ascii="Times New Roman" w:hAnsi="Times New Roman" w:eastAsia="方正仿宋_GBK" w:cs="Times New Roman"/>
          <w:sz w:val="32"/>
          <w:szCs w:val="32"/>
        </w:rPr>
        <w:t>200</w:t>
      </w:r>
      <w:r>
        <w:rPr>
          <w:rFonts w:hint="eastAsia" w:ascii="方正仿宋_GBK" w:hAnsi="方正仿宋_GBK" w:eastAsia="方正仿宋_GBK" w:cs="方正仿宋_GBK"/>
          <w:sz w:val="32"/>
          <w:szCs w:val="32"/>
        </w:rPr>
        <w:t>张以上的其他学校。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w:t>
      </w:r>
      <w:r>
        <w:rPr>
          <w:rFonts w:hint="eastAsia" w:ascii="Times New Roman" w:hAnsi="Times New Roman" w:eastAsia="方正仿宋_GBK" w:cs="Times New Roman"/>
          <w:sz w:val="32"/>
          <w:szCs w:val="32"/>
        </w:rPr>
        <w:t>200</w:t>
      </w:r>
      <w:r>
        <w:rPr>
          <w:rFonts w:hint="eastAsia" w:ascii="方正仿宋_GBK" w:hAnsi="方正仿宋_GBK" w:eastAsia="方正仿宋_GBK" w:cs="方正仿宋_GBK"/>
          <w:sz w:val="32"/>
          <w:szCs w:val="32"/>
        </w:rPr>
        <w:t>人以上的非寄宿制特殊教育学校，</w:t>
      </w:r>
      <w:r>
        <w:rPr>
          <w:rFonts w:hint="eastAsia" w:ascii="Times New Roman" w:hAnsi="Times New Roman" w:eastAsia="方正仿宋_GBK" w:cs="Times New Roman"/>
          <w:sz w:val="32"/>
          <w:szCs w:val="32"/>
        </w:rPr>
        <w:t>1000</w:t>
      </w:r>
      <w:r>
        <w:rPr>
          <w:rFonts w:hint="eastAsia" w:ascii="方正仿宋_GBK" w:hAnsi="方正仿宋_GBK" w:eastAsia="方正仿宋_GBK" w:cs="方正仿宋_GBK"/>
          <w:sz w:val="32"/>
          <w:szCs w:val="32"/>
        </w:rPr>
        <w:t>人以上的其他非寄宿制学校。</w:t>
      </w:r>
    </w:p>
    <w:p>
      <w:pPr>
        <w:keepNext w:val="0"/>
        <w:keepLines w:val="0"/>
        <w:pageBreakBefore w:val="0"/>
        <w:widowControl w:val="0"/>
        <w:numPr>
          <w:ilvl w:val="0"/>
          <w:numId w:val="1"/>
        </w:numPr>
        <w:kinsoku/>
        <w:wordWrap/>
        <w:overflowPunct/>
        <w:topLinePunct w:val="0"/>
        <w:bidi w:val="0"/>
        <w:adjustRightInd/>
        <w:snapToGrid/>
        <w:spacing w:line="600" w:lineRule="exact"/>
        <w:ind w:firstLine="640" w:firstLineChars="200"/>
        <w:textAlignment w:val="auto"/>
        <w:rPr>
          <w:rFonts w:eastAsia="方正黑体_GBK"/>
          <w:sz w:val="32"/>
          <w:szCs w:val="32"/>
        </w:rPr>
      </w:pPr>
      <w:r>
        <w:rPr>
          <w:rFonts w:eastAsia="方正黑体_GBK"/>
          <w:sz w:val="32"/>
          <w:szCs w:val="32"/>
        </w:rPr>
        <w:t>国家机关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（一）县级以上党委、人大、政府、政协机关。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（二）县级以上监察委员会、人民法院和人民检察院。</w:t>
      </w:r>
    </w:p>
    <w:p>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eastAsia="方正黑体_GBK"/>
          <w:sz w:val="32"/>
          <w:szCs w:val="32"/>
        </w:rPr>
      </w:pPr>
      <w:r>
        <w:rPr>
          <w:rFonts w:eastAsia="方正黑体_GBK"/>
          <w:sz w:val="32"/>
          <w:szCs w:val="32"/>
        </w:rPr>
        <w:t>四、广播电视台和县级以上邮政、通信枢纽、数据中心</w:t>
      </w:r>
    </w:p>
    <w:p>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eastAsia="方正黑体_GBK"/>
          <w:sz w:val="32"/>
          <w:szCs w:val="32"/>
        </w:rPr>
      </w:pPr>
      <w:r>
        <w:rPr>
          <w:rFonts w:eastAsia="方正黑体_GBK"/>
          <w:sz w:val="32"/>
          <w:szCs w:val="32"/>
        </w:rPr>
        <w:t>五、公共图书馆、展览馆、博物馆、档案馆，具有火灾危险性的文物保护单位，宗教活动场所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（一）藏书</w:t>
      </w:r>
      <w:r>
        <w:rPr>
          <w:rFonts w:hint="eastAsia" w:ascii="Times New Roman" w:hAnsi="Times New Roman" w:eastAsia="方正仿宋_GBK" w:cs="Times New Roman"/>
          <w:sz w:val="32"/>
          <w:szCs w:val="32"/>
        </w:rPr>
        <w:t>50</w:t>
      </w:r>
      <w:r>
        <w:rPr>
          <w:rFonts w:hint="eastAsia" w:ascii="方正仿宋_GBK" w:hAnsi="方正仿宋_GBK" w:eastAsia="方正仿宋_GBK" w:cs="方正仿宋_GBK"/>
          <w:sz w:val="32"/>
          <w:szCs w:val="32"/>
        </w:rPr>
        <w:t>万册以上的公共图书馆，展览面积在</w:t>
      </w:r>
      <w:r>
        <w:rPr>
          <w:rFonts w:hint="eastAsia" w:ascii="Times New Roman" w:hAnsi="Times New Roman" w:eastAsia="方正仿宋_GBK" w:cs="Times New Roman"/>
          <w:sz w:val="32"/>
          <w:szCs w:val="32"/>
        </w:rPr>
        <w:t>10000</w:t>
      </w:r>
      <w:r>
        <w:rPr>
          <w:rFonts w:hint="eastAsia" w:ascii="方正仿宋_GBK" w:hAnsi="方正仿宋_GBK" w:eastAsia="方正仿宋_GBK" w:cs="方正仿宋_GBK"/>
          <w:sz w:val="32"/>
          <w:szCs w:val="32"/>
        </w:rPr>
        <w:t>平方米以上的展览馆。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（二）三级以上博物馆，国家档案馆。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（三）具有火灾危险性的省级以上文物保护单位。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（四）宗教教职人员在</w:t>
      </w:r>
      <w:r>
        <w:rPr>
          <w:rFonts w:hint="eastAsia" w:ascii="Times New Roman" w:hAnsi="Times New Roman" w:eastAsia="方正仿宋_GBK" w:cs="Times New Roman"/>
          <w:sz w:val="32"/>
          <w:szCs w:val="32"/>
        </w:rPr>
        <w:t>50</w:t>
      </w:r>
      <w:r>
        <w:rPr>
          <w:rFonts w:hint="eastAsia" w:ascii="方正仿宋_GBK" w:hAnsi="方正仿宋_GBK" w:eastAsia="方正仿宋_GBK" w:cs="方正仿宋_GBK"/>
          <w:sz w:val="32"/>
          <w:szCs w:val="32"/>
        </w:rPr>
        <w:t>人以上或者建筑面积在</w:t>
      </w:r>
      <w:r>
        <w:rPr>
          <w:rFonts w:hint="eastAsia" w:ascii="Times New Roman" w:hAnsi="Times New Roman" w:eastAsia="方正仿宋_GBK" w:cs="Times New Roman"/>
          <w:sz w:val="32"/>
          <w:szCs w:val="32"/>
        </w:rPr>
        <w:t>5000</w:t>
      </w:r>
      <w:r>
        <w:rPr>
          <w:rFonts w:hint="eastAsia" w:ascii="方正仿宋_GBK" w:hAnsi="方正仿宋_GBK" w:eastAsia="方正仿宋_GBK" w:cs="方正仿宋_GBK"/>
          <w:sz w:val="32"/>
          <w:szCs w:val="32"/>
        </w:rPr>
        <w:t>平方米以上，且属于县级以上文物保护单位的宗教活动场所。</w:t>
      </w:r>
    </w:p>
    <w:p>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eastAsia="方正黑体_GBK"/>
          <w:sz w:val="32"/>
          <w:szCs w:val="32"/>
        </w:rPr>
      </w:pPr>
      <w:r>
        <w:rPr>
          <w:rFonts w:eastAsia="方正黑体_GBK"/>
          <w:sz w:val="32"/>
          <w:szCs w:val="32"/>
        </w:rPr>
        <w:t>六、发电厂和电网经营企业、储能电站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（一）大型发电厂（站），</w:t>
      </w:r>
      <w:r>
        <w:rPr>
          <w:rFonts w:hint="eastAsia" w:ascii="Times New Roman" w:hAnsi="Times New Roman" w:eastAsia="方正仿宋_GBK" w:cs="Times New Roman"/>
          <w:sz w:val="32"/>
          <w:szCs w:val="32"/>
        </w:rPr>
        <w:t>500KV</w:t>
      </w:r>
      <w:r>
        <w:rPr>
          <w:rFonts w:hint="eastAsia" w:ascii="方正仿宋_GBK" w:hAnsi="方正仿宋_GBK" w:eastAsia="方正仿宋_GBK" w:cs="方正仿宋_GBK"/>
          <w:sz w:val="32"/>
          <w:szCs w:val="32"/>
        </w:rPr>
        <w:t>及以上变电站。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（二）县级以上电网经营企业、承担电力调度功能的供电单位。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（三）功率</w:t>
      </w:r>
      <w:r>
        <w:rPr>
          <w:rFonts w:hint="eastAsia" w:ascii="Times New Roman" w:hAnsi="Times New Roman" w:eastAsia="方正仿宋_GBK" w:cs="Times New Roman"/>
          <w:sz w:val="32"/>
          <w:szCs w:val="32"/>
        </w:rPr>
        <w:t>30MW</w:t>
      </w:r>
      <w:r>
        <w:rPr>
          <w:rFonts w:hint="eastAsia" w:ascii="方正仿宋_GBK" w:hAnsi="方正仿宋_GBK" w:eastAsia="方正仿宋_GBK" w:cs="方正仿宋_GBK"/>
          <w:sz w:val="32"/>
          <w:szCs w:val="32"/>
        </w:rPr>
        <w:t>或</w:t>
      </w:r>
      <w:r>
        <w:rPr>
          <w:rFonts w:hint="eastAsia" w:ascii="方正仿宋_GBK" w:hAnsi="方正仿宋_GBK" w:eastAsia="方正仿宋_GBK" w:cs="方正仿宋_GBK"/>
          <w:sz w:val="32"/>
          <w:szCs w:val="32"/>
          <w:lang w:val="en-US" w:eastAsia="zh-CN"/>
        </w:rPr>
        <w:t>者</w:t>
      </w:r>
      <w:r>
        <w:rPr>
          <w:rFonts w:hint="eastAsia" w:ascii="方正仿宋_GBK" w:hAnsi="方正仿宋_GBK" w:eastAsia="方正仿宋_GBK" w:cs="方正仿宋_GBK"/>
          <w:sz w:val="32"/>
          <w:szCs w:val="32"/>
        </w:rPr>
        <w:t>容量</w:t>
      </w:r>
      <w:r>
        <w:rPr>
          <w:rFonts w:hint="eastAsia" w:ascii="Times New Roman" w:hAnsi="Times New Roman" w:eastAsia="方正仿宋_GBK" w:cs="Times New Roman"/>
          <w:sz w:val="32"/>
          <w:szCs w:val="32"/>
        </w:rPr>
        <w:t>30MW·h</w:t>
      </w:r>
      <w:r>
        <w:rPr>
          <w:rFonts w:hint="eastAsia" w:ascii="方正仿宋_GBK" w:hAnsi="方正仿宋_GBK" w:eastAsia="方正仿宋_GBK" w:cs="方正仿宋_GBK"/>
          <w:sz w:val="32"/>
          <w:szCs w:val="32"/>
        </w:rPr>
        <w:t>以上的电化学储能电站。</w:t>
      </w:r>
    </w:p>
    <w:p>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eastAsia="方正黑体_GBK"/>
          <w:sz w:val="32"/>
          <w:szCs w:val="32"/>
        </w:rPr>
      </w:pPr>
      <w:r>
        <w:rPr>
          <w:rFonts w:eastAsia="方正黑体_GBK"/>
          <w:sz w:val="32"/>
          <w:szCs w:val="32"/>
        </w:rPr>
        <w:t>七、易燃易爆化学物品的生产、充装、储存、供应、销售单位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（一）生产、储存易燃易爆化学物品的工厂、专用仓库。</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（二）易燃易爆气体和液体的充装站、调压站。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（三）营业性汽车加油加气加氢站、液化石油气供应站。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（四）建筑面积在</w:t>
      </w:r>
      <w:r>
        <w:rPr>
          <w:rFonts w:hint="eastAsia" w:ascii="Times New Roman" w:hAnsi="Times New Roman" w:eastAsia="方正仿宋_GBK" w:cs="Times New Roman"/>
          <w:sz w:val="32"/>
          <w:szCs w:val="32"/>
        </w:rPr>
        <w:t>300</w:t>
      </w:r>
      <w:r>
        <w:rPr>
          <w:rFonts w:hint="eastAsia" w:ascii="方正仿宋_GBK" w:hAnsi="方正仿宋_GBK" w:eastAsia="方正仿宋_GBK" w:cs="方正仿宋_GBK"/>
          <w:sz w:val="32"/>
          <w:szCs w:val="32"/>
        </w:rPr>
        <w:t>平方米以上的经营易燃易爆化学物品的商店。</w:t>
      </w:r>
    </w:p>
    <w:p>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eastAsia="方正黑体_GBK"/>
          <w:sz w:val="32"/>
          <w:szCs w:val="32"/>
        </w:rPr>
      </w:pPr>
      <w:r>
        <w:rPr>
          <w:rFonts w:eastAsia="方正黑体_GBK"/>
          <w:sz w:val="32"/>
          <w:szCs w:val="32"/>
        </w:rPr>
        <w:t>八、生产、加工企业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企业员工总数在</w:t>
      </w:r>
      <w:r>
        <w:rPr>
          <w:rFonts w:hint="eastAsia" w:ascii="Times New Roman" w:hAnsi="Times New Roman" w:eastAsia="方正仿宋_GBK" w:cs="Times New Roman"/>
          <w:sz w:val="32"/>
          <w:szCs w:val="32"/>
        </w:rPr>
        <w:t>1000</w:t>
      </w:r>
      <w:r>
        <w:rPr>
          <w:rFonts w:hint="eastAsia" w:ascii="方正仿宋_GBK" w:hAnsi="方正仿宋_GBK" w:eastAsia="方正仿宋_GBK" w:cs="方正仿宋_GBK"/>
          <w:sz w:val="32"/>
          <w:szCs w:val="32"/>
        </w:rPr>
        <w:t>人以上，或者同一建筑在同一时间的使用人数在</w:t>
      </w:r>
      <w:r>
        <w:rPr>
          <w:rFonts w:hint="eastAsia" w:ascii="Times New Roman" w:hAnsi="Times New Roman" w:eastAsia="方正仿宋_GBK" w:cs="Times New Roman"/>
          <w:sz w:val="32"/>
          <w:szCs w:val="32"/>
        </w:rPr>
        <w:t>300</w:t>
      </w:r>
      <w:r>
        <w:rPr>
          <w:rFonts w:hint="eastAsia" w:ascii="方正仿宋_GBK" w:hAnsi="方正仿宋_GBK" w:eastAsia="方正仿宋_GBK" w:cs="方正仿宋_GBK"/>
          <w:sz w:val="32"/>
          <w:szCs w:val="32"/>
        </w:rPr>
        <w:t>人以上的服装、鞋帽、玩具、木制品、家具、塑料、食品加工和纺织、印染、电子、印刷等劳动密集型企业。</w:t>
      </w:r>
    </w:p>
    <w:p>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eastAsia="方正黑体_GBK"/>
          <w:sz w:val="32"/>
          <w:szCs w:val="32"/>
        </w:rPr>
      </w:pPr>
      <w:r>
        <w:rPr>
          <w:rFonts w:eastAsia="方正黑体_GBK"/>
          <w:sz w:val="32"/>
          <w:szCs w:val="32"/>
        </w:rPr>
        <w:t>九、国家和省级科研单位、国家实验室、全国重点实验室</w:t>
      </w:r>
    </w:p>
    <w:p>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eastAsia="方正黑体_GBK"/>
          <w:sz w:val="32"/>
          <w:szCs w:val="32"/>
        </w:rPr>
      </w:pPr>
      <w:r>
        <w:rPr>
          <w:rFonts w:eastAsia="方正黑体_GBK"/>
          <w:sz w:val="32"/>
          <w:szCs w:val="32"/>
        </w:rPr>
        <w:t>十、其他发生火灾可能性较大以及一旦发生火灾可能造成人身重大伤亡或者财产重大损失的单位和场所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（一）停车数量在</w:t>
      </w:r>
      <w:r>
        <w:rPr>
          <w:rFonts w:hint="eastAsia" w:ascii="Times New Roman" w:hAnsi="Times New Roman" w:eastAsia="方正仿宋_GBK" w:cs="Times New Roman"/>
          <w:sz w:val="32"/>
          <w:szCs w:val="32"/>
        </w:rPr>
        <w:t>300</w:t>
      </w:r>
      <w:r>
        <w:rPr>
          <w:rFonts w:hint="eastAsia" w:ascii="方正仿宋_GBK" w:hAnsi="方正仿宋_GBK" w:eastAsia="方正仿宋_GBK" w:cs="方正仿宋_GBK"/>
          <w:sz w:val="32"/>
          <w:szCs w:val="32"/>
        </w:rPr>
        <w:t>辆以上或者建筑面积大于</w:t>
      </w:r>
      <w:r>
        <w:rPr>
          <w:rFonts w:hint="eastAsia" w:ascii="Times New Roman" w:hAnsi="Times New Roman" w:eastAsia="方正仿宋_GBK" w:cs="Times New Roman"/>
          <w:sz w:val="32"/>
          <w:szCs w:val="32"/>
        </w:rPr>
        <w:t>10000</w:t>
      </w:r>
      <w:r>
        <w:rPr>
          <w:rFonts w:hint="eastAsia" w:ascii="方正仿宋_GBK" w:hAnsi="方正仿宋_GBK" w:eastAsia="方正仿宋_GBK" w:cs="方正仿宋_GBK"/>
          <w:sz w:val="32"/>
          <w:szCs w:val="32"/>
        </w:rPr>
        <w:t>平方米独立建造的经营性汽车库，车位数大于</w:t>
      </w:r>
      <w:r>
        <w:rPr>
          <w:rFonts w:hint="eastAsia" w:ascii="Times New Roman" w:hAnsi="Times New Roman" w:eastAsia="方正仿宋_GBK" w:cs="Times New Roman"/>
          <w:sz w:val="32"/>
          <w:szCs w:val="32"/>
        </w:rPr>
        <w:t>60</w:t>
      </w:r>
      <w:r>
        <w:rPr>
          <w:rFonts w:hint="eastAsia" w:ascii="方正仿宋_GBK" w:hAnsi="方正仿宋_GBK" w:eastAsia="方正仿宋_GBK" w:cs="方正仿宋_GBK"/>
          <w:sz w:val="32"/>
          <w:szCs w:val="32"/>
        </w:rPr>
        <w:t>个或者建筑面积大于</w:t>
      </w:r>
      <w:r>
        <w:rPr>
          <w:rFonts w:hint="eastAsia" w:ascii="Times New Roman" w:hAnsi="Times New Roman" w:eastAsia="方正仿宋_GBK" w:cs="Times New Roman"/>
          <w:sz w:val="32"/>
          <w:szCs w:val="32"/>
        </w:rPr>
        <w:t>3000</w:t>
      </w:r>
      <w:r>
        <w:rPr>
          <w:rFonts w:hint="eastAsia" w:ascii="方正仿宋_GBK" w:hAnsi="方正仿宋_GBK" w:eastAsia="方正仿宋_GBK" w:cs="方正仿宋_GBK"/>
          <w:sz w:val="32"/>
          <w:szCs w:val="32"/>
        </w:rPr>
        <w:t>平方米的修车库，停车数量在</w:t>
      </w:r>
      <w:r>
        <w:rPr>
          <w:rFonts w:hint="eastAsia" w:ascii="Times New Roman" w:hAnsi="Times New Roman" w:eastAsia="方正仿宋_GBK" w:cs="Times New Roman"/>
          <w:sz w:val="32"/>
          <w:szCs w:val="32"/>
        </w:rPr>
        <w:t>200辆</w:t>
      </w:r>
      <w:r>
        <w:rPr>
          <w:rFonts w:hint="eastAsia" w:ascii="方正仿宋_GBK" w:hAnsi="方正仿宋_GBK" w:eastAsia="方正仿宋_GBK" w:cs="方正仿宋_GBK"/>
          <w:sz w:val="32"/>
          <w:szCs w:val="32"/>
        </w:rPr>
        <w:t>以上的公交车、客车停车场；室内集中布置充电设备且建筑面积在</w:t>
      </w:r>
      <w:r>
        <w:rPr>
          <w:rFonts w:hint="eastAsia" w:ascii="Times New Roman" w:hAnsi="Times New Roman" w:eastAsia="方正仿宋_GBK" w:cs="Times New Roman"/>
          <w:sz w:val="32"/>
          <w:szCs w:val="32"/>
        </w:rPr>
        <w:t>1000</w:t>
      </w:r>
      <w:r>
        <w:rPr>
          <w:rFonts w:hint="eastAsia" w:ascii="方正仿宋_GBK" w:hAnsi="方正仿宋_GBK" w:eastAsia="方正仿宋_GBK" w:cs="方正仿宋_GBK"/>
          <w:sz w:val="32"/>
          <w:szCs w:val="32"/>
        </w:rPr>
        <w:t>平方米以上的电动汽车充电站。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（二）省级以上司法部门直属的监狱和行政戒毒场所。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（三）固定资产（建筑、设备、原材料等）价值在</w:t>
      </w:r>
      <w:r>
        <w:rPr>
          <w:rFonts w:hint="eastAsia"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亿元以上的工业企业。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成都市固定资产（建筑、设备、原材料等）价值在</w:t>
      </w:r>
      <w:r>
        <w:rPr>
          <w:rFonts w:hint="eastAsia"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亿元以上的工业企业。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（四）央行、商业银行的分行级以上分支机构。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w:t>
      </w:r>
      <w:r>
        <w:rPr>
          <w:rFonts w:hint="eastAsia" w:ascii="Times New Roman" w:hAnsi="Times New Roman" w:eastAsia="方正仿宋_GBK" w:cs="Times New Roman"/>
          <w:sz w:val="32"/>
          <w:szCs w:val="32"/>
        </w:rPr>
        <w:t>4A</w:t>
      </w:r>
      <w:r>
        <w:rPr>
          <w:rFonts w:hint="eastAsia" w:ascii="方正仿宋_GBK" w:hAnsi="方正仿宋_GBK" w:eastAsia="方正仿宋_GBK" w:cs="方正仿宋_GBK"/>
          <w:sz w:val="32"/>
          <w:szCs w:val="32"/>
        </w:rPr>
        <w:t>级以上旅游景区。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（六）建筑面积在</w:t>
      </w:r>
      <w:r>
        <w:rPr>
          <w:rFonts w:hint="default" w:ascii="Times New Roman" w:hAnsi="Times New Roman" w:eastAsia="方正仿宋_GBK" w:cs="Times New Roman"/>
          <w:sz w:val="32"/>
          <w:szCs w:val="32"/>
        </w:rPr>
        <w:t>50000</w:t>
      </w:r>
      <w:r>
        <w:rPr>
          <w:rFonts w:hint="eastAsia" w:ascii="方正仿宋_GBK" w:hAnsi="方正仿宋_GBK" w:eastAsia="方正仿宋_GBK" w:cs="方正仿宋_GBK"/>
          <w:sz w:val="32"/>
          <w:szCs w:val="32"/>
        </w:rPr>
        <w:t>平方米以上的大型商业综合体。</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（七）城市轨道交通换乘站。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方正仿宋_GBK" w:hAnsi="方正仿宋_GBK" w:eastAsia="方正仿宋_GBK" w:cs="方正仿宋_GBK"/>
          <w:sz w:val="32"/>
          <w:szCs w:val="32"/>
        </w:rPr>
      </w:pPr>
    </w:p>
    <w:p>
      <w:pPr>
        <w:spacing w:line="500" w:lineRule="exact"/>
        <w:rPr>
          <w:rFonts w:hint="default"/>
          <w:lang w:val="en-US" w:eastAsia="zh-CN"/>
        </w:rPr>
      </w:pPr>
      <w:bookmarkStart w:id="0" w:name="_GoBack"/>
      <w:bookmarkEnd w:id="0"/>
    </w:p>
    <w:sectPr>
      <w:headerReference r:id="rId3" w:type="default"/>
      <w:footerReference r:id="rId4" w:type="default"/>
      <w:pgSz w:w="11906" w:h="16838"/>
      <w:pgMar w:top="2098" w:right="1531" w:bottom="1984" w:left="1531"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1616" w:wrap="around" w:vAnchor="text" w:hAnchor="margin" w:xAlign="outside" w:y="1"/>
      <w:ind w:firstLine="280" w:firstLineChars="100"/>
      <w:rPr>
        <w:rStyle w:val="24"/>
        <w:rFonts w:ascii="宋体" w:hAnsi="宋体"/>
        <w:sz w:val="28"/>
        <w:szCs w:val="28"/>
      </w:rPr>
    </w:pPr>
    <w:r>
      <w:rPr>
        <w:rStyle w:val="24"/>
        <w:rFonts w:hint="eastAsia" w:ascii="宋体" w:hAnsi="宋体"/>
        <w:sz w:val="28"/>
        <w:szCs w:val="28"/>
      </w:rPr>
      <w:t xml:space="preserve">— </w:t>
    </w:r>
    <w:r>
      <w:rPr>
        <w:rFonts w:hint="eastAsia" w:ascii="宋体" w:hAnsi="宋体"/>
        <w:sz w:val="28"/>
        <w:szCs w:val="28"/>
      </w:rPr>
      <w:fldChar w:fldCharType="begin"/>
    </w:r>
    <w:r>
      <w:rPr>
        <w:rStyle w:val="24"/>
        <w:rFonts w:hint="eastAsia" w:ascii="宋体" w:hAnsi="宋体"/>
        <w:sz w:val="28"/>
        <w:szCs w:val="28"/>
      </w:rPr>
      <w:instrText xml:space="preserve">PAGE  </w:instrText>
    </w:r>
    <w:r>
      <w:rPr>
        <w:rFonts w:ascii="宋体" w:hAnsi="宋体"/>
        <w:sz w:val="28"/>
        <w:szCs w:val="28"/>
      </w:rPr>
      <w:fldChar w:fldCharType="separate"/>
    </w:r>
    <w:r>
      <w:rPr>
        <w:rStyle w:val="24"/>
        <w:rFonts w:ascii="宋体" w:hAnsi="宋体"/>
        <w:sz w:val="28"/>
        <w:szCs w:val="28"/>
      </w:rPr>
      <w:t>2</w:t>
    </w:r>
    <w:r>
      <w:rPr>
        <w:rFonts w:hint="eastAsia" w:ascii="宋体" w:hAnsi="宋体"/>
        <w:sz w:val="28"/>
        <w:szCs w:val="28"/>
      </w:rPr>
      <w:fldChar w:fldCharType="end"/>
    </w:r>
    <w:r>
      <w:rPr>
        <w:rStyle w:val="24"/>
        <w:rFonts w:hint="eastAsia" w:ascii="宋体" w:hAnsi="宋体"/>
        <w:sz w:val="28"/>
        <w:szCs w:val="28"/>
      </w:rPr>
      <w:t xml:space="preserve"> —</w:t>
    </w:r>
  </w:p>
  <w:p>
    <w:pPr>
      <w:pStyle w:val="13"/>
      <w:ind w:right="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sz w:val="28"/>
                              <w:szCs w:val="28"/>
                            </w:rPr>
                          </w:pPr>
                        </w:p>
                      </w:txbxContent>
                    </wps:txbx>
                    <wps:bodyPr wrap="none" lIns="0" tIns="0" rIns="0" bIns="0" upright="0">
                      <a:spAutoFit/>
                    </wps:bodyPr>
                  </wps:wsp>
                </a:graphicData>
              </a:graphic>
            </wp:anchor>
          </w:drawing>
        </mc:Choice>
        <mc:Fallback>
          <w:pict>
            <v:shape id="文本框 103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G5EssoBAACcAwAADgAAAGRycy9lMm9Eb2MueG1srVPNjtMwEL4j8Q6W&#10;79RpQ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rihx3OLAL9+/XX78uvz8SpbV&#10;y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hG5EssoBAACcAwAADgAAAAAAAAABACAAAAAeAQAAZHJzL2Uyb0Rv&#10;Yy54bWxQSwUGAAAAAAYABgBZAQAAWgUAAAAA&#10;">
              <v:fill on="f" focussize="0,0"/>
              <v:stroke on="f"/>
              <v:imagedata o:title=""/>
              <o:lock v:ext="edit" aspectratio="f"/>
              <v:textbox inset="0mm,0mm,0mm,0mm" style="mso-fit-shape-to-text:t;">
                <w:txbxContent>
                  <w:p>
                    <w:pPr>
                      <w:pStyle w:val="13"/>
                      <w:rPr>
                        <w:sz w:val="28"/>
                        <w:szCs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wZjQ4ZDQ4NGE5NzMzOTdhYTMyMDYzYmFmOWE2ZmQifQ=="/>
  </w:docVars>
  <w:rsids>
    <w:rsidRoot w:val="007A2A73"/>
    <w:rsid w:val="00000FBE"/>
    <w:rsid w:val="0000124B"/>
    <w:rsid w:val="00002BA4"/>
    <w:rsid w:val="00004AF5"/>
    <w:rsid w:val="00005702"/>
    <w:rsid w:val="00007A04"/>
    <w:rsid w:val="00010025"/>
    <w:rsid w:val="00011B0C"/>
    <w:rsid w:val="00015AA0"/>
    <w:rsid w:val="00016E02"/>
    <w:rsid w:val="00017314"/>
    <w:rsid w:val="00025F2C"/>
    <w:rsid w:val="000326B2"/>
    <w:rsid w:val="00036915"/>
    <w:rsid w:val="00037E80"/>
    <w:rsid w:val="00044069"/>
    <w:rsid w:val="0004546D"/>
    <w:rsid w:val="00053B67"/>
    <w:rsid w:val="0005444A"/>
    <w:rsid w:val="00055C40"/>
    <w:rsid w:val="00062982"/>
    <w:rsid w:val="00067F47"/>
    <w:rsid w:val="00072B48"/>
    <w:rsid w:val="000747E8"/>
    <w:rsid w:val="0008330D"/>
    <w:rsid w:val="0008585F"/>
    <w:rsid w:val="00085D58"/>
    <w:rsid w:val="00087014"/>
    <w:rsid w:val="00091C28"/>
    <w:rsid w:val="00091C90"/>
    <w:rsid w:val="00091DEA"/>
    <w:rsid w:val="000953D8"/>
    <w:rsid w:val="000A16AA"/>
    <w:rsid w:val="000A31F1"/>
    <w:rsid w:val="000A7360"/>
    <w:rsid w:val="000A784B"/>
    <w:rsid w:val="000B20E3"/>
    <w:rsid w:val="000C47B6"/>
    <w:rsid w:val="000C7FAE"/>
    <w:rsid w:val="000D4900"/>
    <w:rsid w:val="000E731E"/>
    <w:rsid w:val="00100737"/>
    <w:rsid w:val="001013AE"/>
    <w:rsid w:val="00101D41"/>
    <w:rsid w:val="00104E85"/>
    <w:rsid w:val="00105D49"/>
    <w:rsid w:val="001062CA"/>
    <w:rsid w:val="00107236"/>
    <w:rsid w:val="00110A5B"/>
    <w:rsid w:val="00112B38"/>
    <w:rsid w:val="0011387B"/>
    <w:rsid w:val="001161F4"/>
    <w:rsid w:val="00116A0B"/>
    <w:rsid w:val="00117BDA"/>
    <w:rsid w:val="00122A7E"/>
    <w:rsid w:val="00124D86"/>
    <w:rsid w:val="00133FDC"/>
    <w:rsid w:val="0013749A"/>
    <w:rsid w:val="00147944"/>
    <w:rsid w:val="001603E5"/>
    <w:rsid w:val="001630F7"/>
    <w:rsid w:val="00166E93"/>
    <w:rsid w:val="00167713"/>
    <w:rsid w:val="0017116F"/>
    <w:rsid w:val="0018209C"/>
    <w:rsid w:val="00182F03"/>
    <w:rsid w:val="00183EC0"/>
    <w:rsid w:val="0018481B"/>
    <w:rsid w:val="00191451"/>
    <w:rsid w:val="00191E1B"/>
    <w:rsid w:val="00191F4B"/>
    <w:rsid w:val="001A045E"/>
    <w:rsid w:val="001A09B7"/>
    <w:rsid w:val="001B2EED"/>
    <w:rsid w:val="001B43B3"/>
    <w:rsid w:val="001B6231"/>
    <w:rsid w:val="001C1FAF"/>
    <w:rsid w:val="001C3AC8"/>
    <w:rsid w:val="001C4686"/>
    <w:rsid w:val="001C588A"/>
    <w:rsid w:val="001C662D"/>
    <w:rsid w:val="001D240C"/>
    <w:rsid w:val="001D54CD"/>
    <w:rsid w:val="001D7467"/>
    <w:rsid w:val="001D7830"/>
    <w:rsid w:val="001E0944"/>
    <w:rsid w:val="001E1575"/>
    <w:rsid w:val="001E3616"/>
    <w:rsid w:val="001E3875"/>
    <w:rsid w:val="001E4932"/>
    <w:rsid w:val="001F4C53"/>
    <w:rsid w:val="001F5049"/>
    <w:rsid w:val="001F5D44"/>
    <w:rsid w:val="001F5D8F"/>
    <w:rsid w:val="00200E21"/>
    <w:rsid w:val="00203344"/>
    <w:rsid w:val="0020429D"/>
    <w:rsid w:val="00205CA5"/>
    <w:rsid w:val="00205D58"/>
    <w:rsid w:val="0020654F"/>
    <w:rsid w:val="002111C9"/>
    <w:rsid w:val="0022358B"/>
    <w:rsid w:val="00223939"/>
    <w:rsid w:val="00223D9B"/>
    <w:rsid w:val="002262F0"/>
    <w:rsid w:val="00227718"/>
    <w:rsid w:val="00227B4D"/>
    <w:rsid w:val="00232395"/>
    <w:rsid w:val="00234F03"/>
    <w:rsid w:val="00236155"/>
    <w:rsid w:val="00236B3A"/>
    <w:rsid w:val="002508E5"/>
    <w:rsid w:val="00251A96"/>
    <w:rsid w:val="00257A85"/>
    <w:rsid w:val="00260D9F"/>
    <w:rsid w:val="002624B0"/>
    <w:rsid w:val="002708D4"/>
    <w:rsid w:val="00274E5F"/>
    <w:rsid w:val="00280F40"/>
    <w:rsid w:val="002810B3"/>
    <w:rsid w:val="00282CBA"/>
    <w:rsid w:val="00285248"/>
    <w:rsid w:val="00290A8A"/>
    <w:rsid w:val="00290C96"/>
    <w:rsid w:val="002915FF"/>
    <w:rsid w:val="0029242F"/>
    <w:rsid w:val="0029775A"/>
    <w:rsid w:val="002A3B65"/>
    <w:rsid w:val="002B28A1"/>
    <w:rsid w:val="002B5911"/>
    <w:rsid w:val="002B693D"/>
    <w:rsid w:val="002C12FA"/>
    <w:rsid w:val="002C396D"/>
    <w:rsid w:val="002C43B0"/>
    <w:rsid w:val="002C6E20"/>
    <w:rsid w:val="002D0B26"/>
    <w:rsid w:val="002D386A"/>
    <w:rsid w:val="002E4112"/>
    <w:rsid w:val="002E5015"/>
    <w:rsid w:val="002E594C"/>
    <w:rsid w:val="002E619A"/>
    <w:rsid w:val="002E61B2"/>
    <w:rsid w:val="002F46BA"/>
    <w:rsid w:val="002F55D1"/>
    <w:rsid w:val="003015C5"/>
    <w:rsid w:val="00320891"/>
    <w:rsid w:val="00324D4D"/>
    <w:rsid w:val="00324EEE"/>
    <w:rsid w:val="00330B65"/>
    <w:rsid w:val="00333939"/>
    <w:rsid w:val="00334547"/>
    <w:rsid w:val="00334716"/>
    <w:rsid w:val="00335E06"/>
    <w:rsid w:val="00345FD0"/>
    <w:rsid w:val="00350FE7"/>
    <w:rsid w:val="00351CD4"/>
    <w:rsid w:val="003522BA"/>
    <w:rsid w:val="00353168"/>
    <w:rsid w:val="0035485C"/>
    <w:rsid w:val="00356F72"/>
    <w:rsid w:val="0036503E"/>
    <w:rsid w:val="0036574D"/>
    <w:rsid w:val="0036621B"/>
    <w:rsid w:val="00372DDC"/>
    <w:rsid w:val="003752A8"/>
    <w:rsid w:val="00375798"/>
    <w:rsid w:val="00380BDC"/>
    <w:rsid w:val="003810CC"/>
    <w:rsid w:val="00383614"/>
    <w:rsid w:val="003839B7"/>
    <w:rsid w:val="00385160"/>
    <w:rsid w:val="00390531"/>
    <w:rsid w:val="0039543F"/>
    <w:rsid w:val="0039599F"/>
    <w:rsid w:val="0039633F"/>
    <w:rsid w:val="00397BDA"/>
    <w:rsid w:val="003A07CE"/>
    <w:rsid w:val="003A0817"/>
    <w:rsid w:val="003A5558"/>
    <w:rsid w:val="003B202C"/>
    <w:rsid w:val="003B3430"/>
    <w:rsid w:val="003B4753"/>
    <w:rsid w:val="003C04ED"/>
    <w:rsid w:val="003C4CDD"/>
    <w:rsid w:val="003C5DC9"/>
    <w:rsid w:val="003C6ADA"/>
    <w:rsid w:val="003D34EA"/>
    <w:rsid w:val="003D66B0"/>
    <w:rsid w:val="003E2195"/>
    <w:rsid w:val="003E753D"/>
    <w:rsid w:val="003F2AD8"/>
    <w:rsid w:val="003F2F04"/>
    <w:rsid w:val="003F4F38"/>
    <w:rsid w:val="003F5599"/>
    <w:rsid w:val="00403A15"/>
    <w:rsid w:val="00413062"/>
    <w:rsid w:val="004130A0"/>
    <w:rsid w:val="00413DFD"/>
    <w:rsid w:val="0041557D"/>
    <w:rsid w:val="00416A4F"/>
    <w:rsid w:val="004179B9"/>
    <w:rsid w:val="00421908"/>
    <w:rsid w:val="0042490B"/>
    <w:rsid w:val="004254DC"/>
    <w:rsid w:val="004346F9"/>
    <w:rsid w:val="00434CD6"/>
    <w:rsid w:val="00435215"/>
    <w:rsid w:val="00435F5A"/>
    <w:rsid w:val="00436FC9"/>
    <w:rsid w:val="00440B69"/>
    <w:rsid w:val="0044221C"/>
    <w:rsid w:val="00443AE7"/>
    <w:rsid w:val="00444746"/>
    <w:rsid w:val="00444857"/>
    <w:rsid w:val="00446B8C"/>
    <w:rsid w:val="00454EC6"/>
    <w:rsid w:val="00456006"/>
    <w:rsid w:val="0046050B"/>
    <w:rsid w:val="00463913"/>
    <w:rsid w:val="00463D22"/>
    <w:rsid w:val="004740E5"/>
    <w:rsid w:val="00483493"/>
    <w:rsid w:val="00485765"/>
    <w:rsid w:val="004907FE"/>
    <w:rsid w:val="00490C5C"/>
    <w:rsid w:val="00491ABF"/>
    <w:rsid w:val="004928AD"/>
    <w:rsid w:val="00492963"/>
    <w:rsid w:val="00495AAC"/>
    <w:rsid w:val="004A2ED7"/>
    <w:rsid w:val="004A2FD9"/>
    <w:rsid w:val="004A7B17"/>
    <w:rsid w:val="004B1513"/>
    <w:rsid w:val="004B1F4D"/>
    <w:rsid w:val="004B33BA"/>
    <w:rsid w:val="004B44D3"/>
    <w:rsid w:val="004C1AA1"/>
    <w:rsid w:val="004C27FB"/>
    <w:rsid w:val="004C2CFF"/>
    <w:rsid w:val="004C6877"/>
    <w:rsid w:val="004C6DAD"/>
    <w:rsid w:val="004C7563"/>
    <w:rsid w:val="004D1B42"/>
    <w:rsid w:val="004D267F"/>
    <w:rsid w:val="004D3AA4"/>
    <w:rsid w:val="004D507B"/>
    <w:rsid w:val="004D5F63"/>
    <w:rsid w:val="004E3C4C"/>
    <w:rsid w:val="004F0712"/>
    <w:rsid w:val="004F26CA"/>
    <w:rsid w:val="004F3B52"/>
    <w:rsid w:val="004F713B"/>
    <w:rsid w:val="00502F7B"/>
    <w:rsid w:val="0050436A"/>
    <w:rsid w:val="00504780"/>
    <w:rsid w:val="00507279"/>
    <w:rsid w:val="005078EE"/>
    <w:rsid w:val="0051287A"/>
    <w:rsid w:val="005149EC"/>
    <w:rsid w:val="00514ABB"/>
    <w:rsid w:val="005172B3"/>
    <w:rsid w:val="00523C3C"/>
    <w:rsid w:val="00523E58"/>
    <w:rsid w:val="00531E9F"/>
    <w:rsid w:val="00533F7B"/>
    <w:rsid w:val="00534AEF"/>
    <w:rsid w:val="00537F2B"/>
    <w:rsid w:val="00540779"/>
    <w:rsid w:val="00543755"/>
    <w:rsid w:val="005456F3"/>
    <w:rsid w:val="00546981"/>
    <w:rsid w:val="00553762"/>
    <w:rsid w:val="00563094"/>
    <w:rsid w:val="00563796"/>
    <w:rsid w:val="005643BE"/>
    <w:rsid w:val="00571B09"/>
    <w:rsid w:val="00573356"/>
    <w:rsid w:val="005745D8"/>
    <w:rsid w:val="00582452"/>
    <w:rsid w:val="00584C15"/>
    <w:rsid w:val="00586061"/>
    <w:rsid w:val="0059260A"/>
    <w:rsid w:val="00595621"/>
    <w:rsid w:val="00596B8D"/>
    <w:rsid w:val="00597016"/>
    <w:rsid w:val="005A228E"/>
    <w:rsid w:val="005A29FE"/>
    <w:rsid w:val="005B39E1"/>
    <w:rsid w:val="005C08BE"/>
    <w:rsid w:val="005C253C"/>
    <w:rsid w:val="005D3E7B"/>
    <w:rsid w:val="005D4799"/>
    <w:rsid w:val="005D53BB"/>
    <w:rsid w:val="005E1AD5"/>
    <w:rsid w:val="005E22D2"/>
    <w:rsid w:val="005E423D"/>
    <w:rsid w:val="005E4762"/>
    <w:rsid w:val="005F0FA8"/>
    <w:rsid w:val="005F109D"/>
    <w:rsid w:val="005F1460"/>
    <w:rsid w:val="005F3F01"/>
    <w:rsid w:val="005F4ABF"/>
    <w:rsid w:val="005F5DA3"/>
    <w:rsid w:val="006012B5"/>
    <w:rsid w:val="0060154D"/>
    <w:rsid w:val="00603168"/>
    <w:rsid w:val="006105B6"/>
    <w:rsid w:val="006153AE"/>
    <w:rsid w:val="006173B8"/>
    <w:rsid w:val="0062307B"/>
    <w:rsid w:val="0062348E"/>
    <w:rsid w:val="006252C7"/>
    <w:rsid w:val="006259CB"/>
    <w:rsid w:val="00635872"/>
    <w:rsid w:val="00635D3F"/>
    <w:rsid w:val="00635FFE"/>
    <w:rsid w:val="00637F0E"/>
    <w:rsid w:val="0064245F"/>
    <w:rsid w:val="00650EF8"/>
    <w:rsid w:val="006521DE"/>
    <w:rsid w:val="00660724"/>
    <w:rsid w:val="0067418C"/>
    <w:rsid w:val="00675E00"/>
    <w:rsid w:val="0068519F"/>
    <w:rsid w:val="006857DA"/>
    <w:rsid w:val="00686FBC"/>
    <w:rsid w:val="00687C6F"/>
    <w:rsid w:val="006945F8"/>
    <w:rsid w:val="00697F0C"/>
    <w:rsid w:val="006A213D"/>
    <w:rsid w:val="006A2DA3"/>
    <w:rsid w:val="006A41E4"/>
    <w:rsid w:val="006A7207"/>
    <w:rsid w:val="006B045D"/>
    <w:rsid w:val="006B1994"/>
    <w:rsid w:val="006B284C"/>
    <w:rsid w:val="006B52FE"/>
    <w:rsid w:val="006C1B29"/>
    <w:rsid w:val="006C327E"/>
    <w:rsid w:val="006C3BE4"/>
    <w:rsid w:val="006C42DE"/>
    <w:rsid w:val="006C479A"/>
    <w:rsid w:val="006C7F04"/>
    <w:rsid w:val="006D5154"/>
    <w:rsid w:val="006D53FE"/>
    <w:rsid w:val="006D793B"/>
    <w:rsid w:val="006E1CBD"/>
    <w:rsid w:val="006E7C13"/>
    <w:rsid w:val="006F36DC"/>
    <w:rsid w:val="006F6389"/>
    <w:rsid w:val="006F6921"/>
    <w:rsid w:val="006F7A90"/>
    <w:rsid w:val="00710EEB"/>
    <w:rsid w:val="00714735"/>
    <w:rsid w:val="00714966"/>
    <w:rsid w:val="00717607"/>
    <w:rsid w:val="00717832"/>
    <w:rsid w:val="00717922"/>
    <w:rsid w:val="0072251B"/>
    <w:rsid w:val="00723A47"/>
    <w:rsid w:val="00725AA2"/>
    <w:rsid w:val="00730744"/>
    <w:rsid w:val="00732C6D"/>
    <w:rsid w:val="007376EE"/>
    <w:rsid w:val="007404DD"/>
    <w:rsid w:val="007406A3"/>
    <w:rsid w:val="00741CC0"/>
    <w:rsid w:val="0074393F"/>
    <w:rsid w:val="00751EB9"/>
    <w:rsid w:val="00752B42"/>
    <w:rsid w:val="0075769A"/>
    <w:rsid w:val="00761148"/>
    <w:rsid w:val="007645C3"/>
    <w:rsid w:val="007648D5"/>
    <w:rsid w:val="00764BC6"/>
    <w:rsid w:val="0076603B"/>
    <w:rsid w:val="00767002"/>
    <w:rsid w:val="0077629C"/>
    <w:rsid w:val="007831A4"/>
    <w:rsid w:val="00783BDE"/>
    <w:rsid w:val="00785D61"/>
    <w:rsid w:val="0078768E"/>
    <w:rsid w:val="00790F0E"/>
    <w:rsid w:val="00792055"/>
    <w:rsid w:val="00794709"/>
    <w:rsid w:val="00794FCF"/>
    <w:rsid w:val="007A2742"/>
    <w:rsid w:val="007A2A73"/>
    <w:rsid w:val="007B0046"/>
    <w:rsid w:val="007B3D51"/>
    <w:rsid w:val="007B45FE"/>
    <w:rsid w:val="007B5161"/>
    <w:rsid w:val="007C0CE8"/>
    <w:rsid w:val="007C5B4E"/>
    <w:rsid w:val="007D1538"/>
    <w:rsid w:val="007E1448"/>
    <w:rsid w:val="007E3544"/>
    <w:rsid w:val="007E4C91"/>
    <w:rsid w:val="007E52FC"/>
    <w:rsid w:val="007E5407"/>
    <w:rsid w:val="007E71E7"/>
    <w:rsid w:val="007E74A6"/>
    <w:rsid w:val="007E7A1C"/>
    <w:rsid w:val="007E7AB8"/>
    <w:rsid w:val="007F64E6"/>
    <w:rsid w:val="007F6997"/>
    <w:rsid w:val="008000A3"/>
    <w:rsid w:val="00802545"/>
    <w:rsid w:val="00803C56"/>
    <w:rsid w:val="0080741F"/>
    <w:rsid w:val="00812CBD"/>
    <w:rsid w:val="00813C54"/>
    <w:rsid w:val="008226CF"/>
    <w:rsid w:val="008335BC"/>
    <w:rsid w:val="00847374"/>
    <w:rsid w:val="00854A7C"/>
    <w:rsid w:val="00857C2D"/>
    <w:rsid w:val="00861352"/>
    <w:rsid w:val="00866834"/>
    <w:rsid w:val="00867A1C"/>
    <w:rsid w:val="008706D9"/>
    <w:rsid w:val="008729D9"/>
    <w:rsid w:val="0087401B"/>
    <w:rsid w:val="00874AA6"/>
    <w:rsid w:val="00874F77"/>
    <w:rsid w:val="00890C91"/>
    <w:rsid w:val="00891517"/>
    <w:rsid w:val="00891EFC"/>
    <w:rsid w:val="008A1C12"/>
    <w:rsid w:val="008A1D71"/>
    <w:rsid w:val="008A2226"/>
    <w:rsid w:val="008A6C8D"/>
    <w:rsid w:val="008C0A29"/>
    <w:rsid w:val="008C228F"/>
    <w:rsid w:val="008C5DBC"/>
    <w:rsid w:val="008D0AF1"/>
    <w:rsid w:val="008D7436"/>
    <w:rsid w:val="008E338E"/>
    <w:rsid w:val="008E4FEA"/>
    <w:rsid w:val="008E7A28"/>
    <w:rsid w:val="008F260A"/>
    <w:rsid w:val="008F3827"/>
    <w:rsid w:val="008F4700"/>
    <w:rsid w:val="008F6EB0"/>
    <w:rsid w:val="00906DB8"/>
    <w:rsid w:val="00921141"/>
    <w:rsid w:val="009228E7"/>
    <w:rsid w:val="00925130"/>
    <w:rsid w:val="0092524A"/>
    <w:rsid w:val="009334C1"/>
    <w:rsid w:val="00933805"/>
    <w:rsid w:val="00934637"/>
    <w:rsid w:val="00937BFB"/>
    <w:rsid w:val="0094079A"/>
    <w:rsid w:val="00944CA4"/>
    <w:rsid w:val="0094792E"/>
    <w:rsid w:val="00947CF9"/>
    <w:rsid w:val="00950D0D"/>
    <w:rsid w:val="00954725"/>
    <w:rsid w:val="00954C1A"/>
    <w:rsid w:val="009615B7"/>
    <w:rsid w:val="009658B3"/>
    <w:rsid w:val="00975081"/>
    <w:rsid w:val="00976639"/>
    <w:rsid w:val="009770C4"/>
    <w:rsid w:val="009778C1"/>
    <w:rsid w:val="00980589"/>
    <w:rsid w:val="00985C5D"/>
    <w:rsid w:val="0098792F"/>
    <w:rsid w:val="009905EE"/>
    <w:rsid w:val="00995CBA"/>
    <w:rsid w:val="00996908"/>
    <w:rsid w:val="009A5D28"/>
    <w:rsid w:val="009A6690"/>
    <w:rsid w:val="009B262B"/>
    <w:rsid w:val="009B77B1"/>
    <w:rsid w:val="009C1179"/>
    <w:rsid w:val="009C6186"/>
    <w:rsid w:val="009D425D"/>
    <w:rsid w:val="009D749B"/>
    <w:rsid w:val="009E7F86"/>
    <w:rsid w:val="009F2228"/>
    <w:rsid w:val="009F2B43"/>
    <w:rsid w:val="009F3CDE"/>
    <w:rsid w:val="00A003B6"/>
    <w:rsid w:val="00A02273"/>
    <w:rsid w:val="00A02BCB"/>
    <w:rsid w:val="00A06C8A"/>
    <w:rsid w:val="00A07872"/>
    <w:rsid w:val="00A121FD"/>
    <w:rsid w:val="00A123CD"/>
    <w:rsid w:val="00A12D27"/>
    <w:rsid w:val="00A21264"/>
    <w:rsid w:val="00A22BB8"/>
    <w:rsid w:val="00A22BCB"/>
    <w:rsid w:val="00A32BFB"/>
    <w:rsid w:val="00A3599C"/>
    <w:rsid w:val="00A416CC"/>
    <w:rsid w:val="00A46114"/>
    <w:rsid w:val="00A46E8B"/>
    <w:rsid w:val="00A52D57"/>
    <w:rsid w:val="00A56C61"/>
    <w:rsid w:val="00A57947"/>
    <w:rsid w:val="00A63418"/>
    <w:rsid w:val="00A65B2A"/>
    <w:rsid w:val="00A66A1B"/>
    <w:rsid w:val="00A711B5"/>
    <w:rsid w:val="00A72695"/>
    <w:rsid w:val="00A73B9B"/>
    <w:rsid w:val="00A748FF"/>
    <w:rsid w:val="00A76707"/>
    <w:rsid w:val="00A76A80"/>
    <w:rsid w:val="00A7799B"/>
    <w:rsid w:val="00A831AB"/>
    <w:rsid w:val="00A84C0C"/>
    <w:rsid w:val="00A92CC9"/>
    <w:rsid w:val="00AB3366"/>
    <w:rsid w:val="00AB3624"/>
    <w:rsid w:val="00AB7201"/>
    <w:rsid w:val="00AD4856"/>
    <w:rsid w:val="00AE3096"/>
    <w:rsid w:val="00AE3460"/>
    <w:rsid w:val="00AE36EE"/>
    <w:rsid w:val="00AE4F9E"/>
    <w:rsid w:val="00AF4884"/>
    <w:rsid w:val="00AF4DE3"/>
    <w:rsid w:val="00B024FE"/>
    <w:rsid w:val="00B04160"/>
    <w:rsid w:val="00B068D9"/>
    <w:rsid w:val="00B077BF"/>
    <w:rsid w:val="00B10D52"/>
    <w:rsid w:val="00B1451A"/>
    <w:rsid w:val="00B15440"/>
    <w:rsid w:val="00B167E2"/>
    <w:rsid w:val="00B23554"/>
    <w:rsid w:val="00B23AB6"/>
    <w:rsid w:val="00B23DAB"/>
    <w:rsid w:val="00B24FF6"/>
    <w:rsid w:val="00B30472"/>
    <w:rsid w:val="00B35CCF"/>
    <w:rsid w:val="00B368A1"/>
    <w:rsid w:val="00B42725"/>
    <w:rsid w:val="00B432D8"/>
    <w:rsid w:val="00B4667A"/>
    <w:rsid w:val="00B47843"/>
    <w:rsid w:val="00B50772"/>
    <w:rsid w:val="00B609D3"/>
    <w:rsid w:val="00B661C5"/>
    <w:rsid w:val="00B72B95"/>
    <w:rsid w:val="00B91A9E"/>
    <w:rsid w:val="00B93221"/>
    <w:rsid w:val="00B95981"/>
    <w:rsid w:val="00BB0040"/>
    <w:rsid w:val="00BB2504"/>
    <w:rsid w:val="00BB341C"/>
    <w:rsid w:val="00BB3BE8"/>
    <w:rsid w:val="00BB5403"/>
    <w:rsid w:val="00BB6968"/>
    <w:rsid w:val="00BC14D1"/>
    <w:rsid w:val="00BC5F6A"/>
    <w:rsid w:val="00BD6DA1"/>
    <w:rsid w:val="00BE074C"/>
    <w:rsid w:val="00BE0B79"/>
    <w:rsid w:val="00BE4385"/>
    <w:rsid w:val="00BE6DA9"/>
    <w:rsid w:val="00BF3D06"/>
    <w:rsid w:val="00BF497C"/>
    <w:rsid w:val="00BF7B3F"/>
    <w:rsid w:val="00C02BF3"/>
    <w:rsid w:val="00C03B49"/>
    <w:rsid w:val="00C1310A"/>
    <w:rsid w:val="00C17D9C"/>
    <w:rsid w:val="00C211CB"/>
    <w:rsid w:val="00C21679"/>
    <w:rsid w:val="00C22B2E"/>
    <w:rsid w:val="00C241C8"/>
    <w:rsid w:val="00C269C8"/>
    <w:rsid w:val="00C271D1"/>
    <w:rsid w:val="00C31E17"/>
    <w:rsid w:val="00C349E0"/>
    <w:rsid w:val="00C40567"/>
    <w:rsid w:val="00C411B8"/>
    <w:rsid w:val="00C41C06"/>
    <w:rsid w:val="00C45D96"/>
    <w:rsid w:val="00C47C98"/>
    <w:rsid w:val="00C56045"/>
    <w:rsid w:val="00C5656B"/>
    <w:rsid w:val="00C61C86"/>
    <w:rsid w:val="00C70CDF"/>
    <w:rsid w:val="00C72581"/>
    <w:rsid w:val="00C777E5"/>
    <w:rsid w:val="00C80772"/>
    <w:rsid w:val="00C8217D"/>
    <w:rsid w:val="00C82553"/>
    <w:rsid w:val="00C878FE"/>
    <w:rsid w:val="00C91330"/>
    <w:rsid w:val="00CA0712"/>
    <w:rsid w:val="00CA544A"/>
    <w:rsid w:val="00CA5A88"/>
    <w:rsid w:val="00CA6597"/>
    <w:rsid w:val="00CA7101"/>
    <w:rsid w:val="00CB2D97"/>
    <w:rsid w:val="00CB47FC"/>
    <w:rsid w:val="00CC09B4"/>
    <w:rsid w:val="00CC3485"/>
    <w:rsid w:val="00CC4150"/>
    <w:rsid w:val="00CD0172"/>
    <w:rsid w:val="00CD042A"/>
    <w:rsid w:val="00CD08A6"/>
    <w:rsid w:val="00CD0A23"/>
    <w:rsid w:val="00CD1A37"/>
    <w:rsid w:val="00CD412A"/>
    <w:rsid w:val="00CE163C"/>
    <w:rsid w:val="00CE46FA"/>
    <w:rsid w:val="00CE5409"/>
    <w:rsid w:val="00CE5493"/>
    <w:rsid w:val="00CE5A10"/>
    <w:rsid w:val="00CE5F5B"/>
    <w:rsid w:val="00CE6EE6"/>
    <w:rsid w:val="00CE7404"/>
    <w:rsid w:val="00CF01A0"/>
    <w:rsid w:val="00CF4D80"/>
    <w:rsid w:val="00CF60C2"/>
    <w:rsid w:val="00D01D94"/>
    <w:rsid w:val="00D026FD"/>
    <w:rsid w:val="00D2249A"/>
    <w:rsid w:val="00D253B5"/>
    <w:rsid w:val="00D3190E"/>
    <w:rsid w:val="00D31DB9"/>
    <w:rsid w:val="00D41064"/>
    <w:rsid w:val="00D43204"/>
    <w:rsid w:val="00D43E82"/>
    <w:rsid w:val="00D46DE1"/>
    <w:rsid w:val="00D46DF9"/>
    <w:rsid w:val="00D540A2"/>
    <w:rsid w:val="00D551E0"/>
    <w:rsid w:val="00D57E73"/>
    <w:rsid w:val="00D6195B"/>
    <w:rsid w:val="00D62630"/>
    <w:rsid w:val="00D6338A"/>
    <w:rsid w:val="00D6433B"/>
    <w:rsid w:val="00D6738C"/>
    <w:rsid w:val="00D67460"/>
    <w:rsid w:val="00D6796F"/>
    <w:rsid w:val="00D73394"/>
    <w:rsid w:val="00D73AB1"/>
    <w:rsid w:val="00D74AED"/>
    <w:rsid w:val="00D85AF7"/>
    <w:rsid w:val="00D85DEB"/>
    <w:rsid w:val="00D95221"/>
    <w:rsid w:val="00D9789A"/>
    <w:rsid w:val="00DA657B"/>
    <w:rsid w:val="00DB182F"/>
    <w:rsid w:val="00DB3FE4"/>
    <w:rsid w:val="00DC01A5"/>
    <w:rsid w:val="00DC3369"/>
    <w:rsid w:val="00DC3CF0"/>
    <w:rsid w:val="00DD3A17"/>
    <w:rsid w:val="00DD45F5"/>
    <w:rsid w:val="00DD50DC"/>
    <w:rsid w:val="00DD51D6"/>
    <w:rsid w:val="00DD61A5"/>
    <w:rsid w:val="00DE0319"/>
    <w:rsid w:val="00DE063C"/>
    <w:rsid w:val="00DE29F6"/>
    <w:rsid w:val="00DE37F6"/>
    <w:rsid w:val="00DE46F3"/>
    <w:rsid w:val="00DE4E85"/>
    <w:rsid w:val="00DE67DF"/>
    <w:rsid w:val="00DF7287"/>
    <w:rsid w:val="00E04FA2"/>
    <w:rsid w:val="00E068D1"/>
    <w:rsid w:val="00E074EE"/>
    <w:rsid w:val="00E0798B"/>
    <w:rsid w:val="00E1037B"/>
    <w:rsid w:val="00E10952"/>
    <w:rsid w:val="00E11C21"/>
    <w:rsid w:val="00E130E4"/>
    <w:rsid w:val="00E16DB1"/>
    <w:rsid w:val="00E20F54"/>
    <w:rsid w:val="00E21737"/>
    <w:rsid w:val="00E267D8"/>
    <w:rsid w:val="00E27329"/>
    <w:rsid w:val="00E27907"/>
    <w:rsid w:val="00E32072"/>
    <w:rsid w:val="00E3295F"/>
    <w:rsid w:val="00E333E9"/>
    <w:rsid w:val="00E338F4"/>
    <w:rsid w:val="00E40EE4"/>
    <w:rsid w:val="00E42101"/>
    <w:rsid w:val="00E43869"/>
    <w:rsid w:val="00E4408B"/>
    <w:rsid w:val="00E509B1"/>
    <w:rsid w:val="00E5348E"/>
    <w:rsid w:val="00E54166"/>
    <w:rsid w:val="00E555DF"/>
    <w:rsid w:val="00E566BD"/>
    <w:rsid w:val="00E56BED"/>
    <w:rsid w:val="00E70CAE"/>
    <w:rsid w:val="00E71CFC"/>
    <w:rsid w:val="00E75539"/>
    <w:rsid w:val="00E76191"/>
    <w:rsid w:val="00E80055"/>
    <w:rsid w:val="00E83A8D"/>
    <w:rsid w:val="00E8441E"/>
    <w:rsid w:val="00E85D86"/>
    <w:rsid w:val="00EA2D36"/>
    <w:rsid w:val="00EA3CCE"/>
    <w:rsid w:val="00EA47FC"/>
    <w:rsid w:val="00EA7E7D"/>
    <w:rsid w:val="00EB3252"/>
    <w:rsid w:val="00EB5492"/>
    <w:rsid w:val="00EB56C0"/>
    <w:rsid w:val="00EB72D8"/>
    <w:rsid w:val="00EC05D1"/>
    <w:rsid w:val="00EC3A38"/>
    <w:rsid w:val="00ED057B"/>
    <w:rsid w:val="00ED196F"/>
    <w:rsid w:val="00ED2ED3"/>
    <w:rsid w:val="00ED39A1"/>
    <w:rsid w:val="00ED4C74"/>
    <w:rsid w:val="00ED4FDA"/>
    <w:rsid w:val="00ED55CB"/>
    <w:rsid w:val="00ED5934"/>
    <w:rsid w:val="00ED7F50"/>
    <w:rsid w:val="00EE25B3"/>
    <w:rsid w:val="00EE4A99"/>
    <w:rsid w:val="00EE6B82"/>
    <w:rsid w:val="00EF075B"/>
    <w:rsid w:val="00EF0A95"/>
    <w:rsid w:val="00EF14AD"/>
    <w:rsid w:val="00EF1552"/>
    <w:rsid w:val="00F01A38"/>
    <w:rsid w:val="00F023EB"/>
    <w:rsid w:val="00F02D86"/>
    <w:rsid w:val="00F05934"/>
    <w:rsid w:val="00F06545"/>
    <w:rsid w:val="00F204BE"/>
    <w:rsid w:val="00F20FC2"/>
    <w:rsid w:val="00F226C3"/>
    <w:rsid w:val="00F227B4"/>
    <w:rsid w:val="00F238FB"/>
    <w:rsid w:val="00F26049"/>
    <w:rsid w:val="00F27017"/>
    <w:rsid w:val="00F27920"/>
    <w:rsid w:val="00F47302"/>
    <w:rsid w:val="00F509CE"/>
    <w:rsid w:val="00F51866"/>
    <w:rsid w:val="00F543A4"/>
    <w:rsid w:val="00F67880"/>
    <w:rsid w:val="00F75D6F"/>
    <w:rsid w:val="00F82A5D"/>
    <w:rsid w:val="00F91AEE"/>
    <w:rsid w:val="00F928AA"/>
    <w:rsid w:val="00F94335"/>
    <w:rsid w:val="00F94C3A"/>
    <w:rsid w:val="00F955B8"/>
    <w:rsid w:val="00F9743C"/>
    <w:rsid w:val="00F977BB"/>
    <w:rsid w:val="00FA2CCC"/>
    <w:rsid w:val="00FA49FF"/>
    <w:rsid w:val="00FB2B11"/>
    <w:rsid w:val="00FB53AF"/>
    <w:rsid w:val="00FB6485"/>
    <w:rsid w:val="00FB6B34"/>
    <w:rsid w:val="00FC0F4F"/>
    <w:rsid w:val="00FC25FF"/>
    <w:rsid w:val="00FC2631"/>
    <w:rsid w:val="00FC2A5E"/>
    <w:rsid w:val="00FC6937"/>
    <w:rsid w:val="00FD551A"/>
    <w:rsid w:val="00FD5CFF"/>
    <w:rsid w:val="00FF6D98"/>
    <w:rsid w:val="01155AC7"/>
    <w:rsid w:val="014B738F"/>
    <w:rsid w:val="022950E4"/>
    <w:rsid w:val="033D441F"/>
    <w:rsid w:val="03B5196C"/>
    <w:rsid w:val="03C06FC8"/>
    <w:rsid w:val="05D610DF"/>
    <w:rsid w:val="07F97A23"/>
    <w:rsid w:val="08A2799E"/>
    <w:rsid w:val="09C33687"/>
    <w:rsid w:val="0B9C2483"/>
    <w:rsid w:val="0CE56E2B"/>
    <w:rsid w:val="0D205087"/>
    <w:rsid w:val="0DB51F60"/>
    <w:rsid w:val="0DC40E67"/>
    <w:rsid w:val="0DE545B5"/>
    <w:rsid w:val="0E39220B"/>
    <w:rsid w:val="0E8F4521"/>
    <w:rsid w:val="0F3808C6"/>
    <w:rsid w:val="101B0F4C"/>
    <w:rsid w:val="10F91150"/>
    <w:rsid w:val="116A42D9"/>
    <w:rsid w:val="11BE73EE"/>
    <w:rsid w:val="11E71254"/>
    <w:rsid w:val="12AA1929"/>
    <w:rsid w:val="131B2D2B"/>
    <w:rsid w:val="133C45AB"/>
    <w:rsid w:val="13D27F21"/>
    <w:rsid w:val="1414359C"/>
    <w:rsid w:val="14860EFD"/>
    <w:rsid w:val="15FD2194"/>
    <w:rsid w:val="16E7186A"/>
    <w:rsid w:val="177465B8"/>
    <w:rsid w:val="17A94447"/>
    <w:rsid w:val="17D2534C"/>
    <w:rsid w:val="182C2DE0"/>
    <w:rsid w:val="183121A5"/>
    <w:rsid w:val="18730A0F"/>
    <w:rsid w:val="1912639F"/>
    <w:rsid w:val="19AF6F8A"/>
    <w:rsid w:val="19E51499"/>
    <w:rsid w:val="1A3F1C02"/>
    <w:rsid w:val="1A4474F2"/>
    <w:rsid w:val="1A961955"/>
    <w:rsid w:val="1A973088"/>
    <w:rsid w:val="1B456222"/>
    <w:rsid w:val="1E0C3027"/>
    <w:rsid w:val="1E27095C"/>
    <w:rsid w:val="1E6E5CC1"/>
    <w:rsid w:val="21181C15"/>
    <w:rsid w:val="217A51D2"/>
    <w:rsid w:val="226F0499"/>
    <w:rsid w:val="22A834EE"/>
    <w:rsid w:val="23241284"/>
    <w:rsid w:val="23300840"/>
    <w:rsid w:val="23665F8E"/>
    <w:rsid w:val="23A21A79"/>
    <w:rsid w:val="240C62FE"/>
    <w:rsid w:val="24143171"/>
    <w:rsid w:val="25312AFE"/>
    <w:rsid w:val="258A2B7A"/>
    <w:rsid w:val="25BF2CCE"/>
    <w:rsid w:val="25D731A6"/>
    <w:rsid w:val="25ED5DFA"/>
    <w:rsid w:val="261314DE"/>
    <w:rsid w:val="26B45979"/>
    <w:rsid w:val="26B74BCC"/>
    <w:rsid w:val="27014A96"/>
    <w:rsid w:val="27C76682"/>
    <w:rsid w:val="282C47B3"/>
    <w:rsid w:val="288F2182"/>
    <w:rsid w:val="291E0523"/>
    <w:rsid w:val="2A202D8E"/>
    <w:rsid w:val="2A21651D"/>
    <w:rsid w:val="2B085619"/>
    <w:rsid w:val="2B6C7C6C"/>
    <w:rsid w:val="2BD173B3"/>
    <w:rsid w:val="2C3F30CB"/>
    <w:rsid w:val="2D7B0875"/>
    <w:rsid w:val="2DF37624"/>
    <w:rsid w:val="2E324BC8"/>
    <w:rsid w:val="2E650CB1"/>
    <w:rsid w:val="2EC6763F"/>
    <w:rsid w:val="2ED007EF"/>
    <w:rsid w:val="2F89294C"/>
    <w:rsid w:val="30EB518F"/>
    <w:rsid w:val="310B2831"/>
    <w:rsid w:val="311839E7"/>
    <w:rsid w:val="312863E3"/>
    <w:rsid w:val="31A46A1E"/>
    <w:rsid w:val="32481551"/>
    <w:rsid w:val="325A56F0"/>
    <w:rsid w:val="330E51E8"/>
    <w:rsid w:val="337A0A4C"/>
    <w:rsid w:val="34B57136"/>
    <w:rsid w:val="35BD19ED"/>
    <w:rsid w:val="35DB01D3"/>
    <w:rsid w:val="39724DA4"/>
    <w:rsid w:val="39B95075"/>
    <w:rsid w:val="39C3010A"/>
    <w:rsid w:val="39CA3D14"/>
    <w:rsid w:val="3A06457C"/>
    <w:rsid w:val="3A1E65D5"/>
    <w:rsid w:val="3A577D39"/>
    <w:rsid w:val="3A5906FF"/>
    <w:rsid w:val="3ADF3376"/>
    <w:rsid w:val="3B0F1D50"/>
    <w:rsid w:val="3B11613A"/>
    <w:rsid w:val="3BAD5295"/>
    <w:rsid w:val="3C4740C3"/>
    <w:rsid w:val="3CFD5404"/>
    <w:rsid w:val="3D8D1D6A"/>
    <w:rsid w:val="3E0535EA"/>
    <w:rsid w:val="42EB500A"/>
    <w:rsid w:val="4389659D"/>
    <w:rsid w:val="438F2199"/>
    <w:rsid w:val="44330B7E"/>
    <w:rsid w:val="44734426"/>
    <w:rsid w:val="45297B20"/>
    <w:rsid w:val="45A26392"/>
    <w:rsid w:val="45D249F5"/>
    <w:rsid w:val="46696E2A"/>
    <w:rsid w:val="469554E8"/>
    <w:rsid w:val="47755503"/>
    <w:rsid w:val="479D2B0D"/>
    <w:rsid w:val="47C907A9"/>
    <w:rsid w:val="484555C4"/>
    <w:rsid w:val="486303B7"/>
    <w:rsid w:val="49262DB0"/>
    <w:rsid w:val="4951442C"/>
    <w:rsid w:val="4A2319E6"/>
    <w:rsid w:val="4A7257E1"/>
    <w:rsid w:val="4BA964A0"/>
    <w:rsid w:val="4D006E91"/>
    <w:rsid w:val="4D1C5B6A"/>
    <w:rsid w:val="4DB13AC4"/>
    <w:rsid w:val="4E7925B5"/>
    <w:rsid w:val="4F493C9D"/>
    <w:rsid w:val="4F5148FF"/>
    <w:rsid w:val="4F540738"/>
    <w:rsid w:val="4FCB7540"/>
    <w:rsid w:val="4FF736F9"/>
    <w:rsid w:val="50BE0448"/>
    <w:rsid w:val="513149E8"/>
    <w:rsid w:val="517E35DA"/>
    <w:rsid w:val="517E3D73"/>
    <w:rsid w:val="521368F9"/>
    <w:rsid w:val="5365107B"/>
    <w:rsid w:val="538325E2"/>
    <w:rsid w:val="53935C66"/>
    <w:rsid w:val="53A65A1D"/>
    <w:rsid w:val="540D347C"/>
    <w:rsid w:val="541F7C9F"/>
    <w:rsid w:val="55093D1A"/>
    <w:rsid w:val="559F72F8"/>
    <w:rsid w:val="55A60A22"/>
    <w:rsid w:val="57F201EA"/>
    <w:rsid w:val="58CA6C24"/>
    <w:rsid w:val="58E44AC4"/>
    <w:rsid w:val="5AD448D0"/>
    <w:rsid w:val="5AEA11F4"/>
    <w:rsid w:val="5B134969"/>
    <w:rsid w:val="5B3C2B26"/>
    <w:rsid w:val="5B972AFB"/>
    <w:rsid w:val="5BF03D15"/>
    <w:rsid w:val="5D101956"/>
    <w:rsid w:val="5D924A61"/>
    <w:rsid w:val="5DFD7C4D"/>
    <w:rsid w:val="5E504982"/>
    <w:rsid w:val="5F355218"/>
    <w:rsid w:val="5FE61138"/>
    <w:rsid w:val="60073AA4"/>
    <w:rsid w:val="603D7A2E"/>
    <w:rsid w:val="603E6D4E"/>
    <w:rsid w:val="60B54B3D"/>
    <w:rsid w:val="60F70360"/>
    <w:rsid w:val="62433DEE"/>
    <w:rsid w:val="63AE7394"/>
    <w:rsid w:val="6418350F"/>
    <w:rsid w:val="655F7738"/>
    <w:rsid w:val="67087B42"/>
    <w:rsid w:val="67825B46"/>
    <w:rsid w:val="68445113"/>
    <w:rsid w:val="68B41D2F"/>
    <w:rsid w:val="68C62E6C"/>
    <w:rsid w:val="6960145B"/>
    <w:rsid w:val="696A60B8"/>
    <w:rsid w:val="69B17DFB"/>
    <w:rsid w:val="6A0024A9"/>
    <w:rsid w:val="6A072332"/>
    <w:rsid w:val="6AAC3DF1"/>
    <w:rsid w:val="6CC72349"/>
    <w:rsid w:val="6D6F34FA"/>
    <w:rsid w:val="6DE94229"/>
    <w:rsid w:val="6E122ED2"/>
    <w:rsid w:val="6ECD6849"/>
    <w:rsid w:val="6F872384"/>
    <w:rsid w:val="6FEF7AF1"/>
    <w:rsid w:val="71C62CD4"/>
    <w:rsid w:val="71EC4A96"/>
    <w:rsid w:val="730A48CA"/>
    <w:rsid w:val="732405DD"/>
    <w:rsid w:val="7361291F"/>
    <w:rsid w:val="746957B5"/>
    <w:rsid w:val="74FD0501"/>
    <w:rsid w:val="75117552"/>
    <w:rsid w:val="75712ADF"/>
    <w:rsid w:val="75BC67DC"/>
    <w:rsid w:val="763757FD"/>
    <w:rsid w:val="763E45FA"/>
    <w:rsid w:val="76602A84"/>
    <w:rsid w:val="768A0745"/>
    <w:rsid w:val="76EF2780"/>
    <w:rsid w:val="77095724"/>
    <w:rsid w:val="77E64E17"/>
    <w:rsid w:val="78291921"/>
    <w:rsid w:val="790243F1"/>
    <w:rsid w:val="79053D7E"/>
    <w:rsid w:val="792D02DD"/>
    <w:rsid w:val="7A2C5E40"/>
    <w:rsid w:val="7B145A11"/>
    <w:rsid w:val="7B5B24DE"/>
    <w:rsid w:val="7BC86E4D"/>
    <w:rsid w:val="7BE40725"/>
    <w:rsid w:val="7C0D4AF9"/>
    <w:rsid w:val="7C2E083B"/>
    <w:rsid w:val="7C6F7EC1"/>
    <w:rsid w:val="7CA232B0"/>
    <w:rsid w:val="7CB41EA6"/>
    <w:rsid w:val="7D607A29"/>
    <w:rsid w:val="7D983444"/>
    <w:rsid w:val="7E17093E"/>
    <w:rsid w:val="7E5963C6"/>
    <w:rsid w:val="7E9718C6"/>
    <w:rsid w:val="7EC0639D"/>
    <w:rsid w:val="7F2C04B3"/>
    <w:rsid w:val="7F761695"/>
    <w:rsid w:val="7F8C6E5F"/>
    <w:rsid w:val="7F9148C3"/>
    <w:rsid w:val="7FC87C81"/>
    <w:rsid w:val="7FCA538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iPriority="99" w:semiHidden="0" w:name="Date"/>
    <w:lsdException w:qFormat="1"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4"/>
    <w:basedOn w:val="1"/>
    <w:next w:val="1"/>
    <w:link w:val="28"/>
    <w:qFormat/>
    <w:uiPriority w:val="0"/>
    <w:pPr>
      <w:keepNext/>
      <w:keepLines/>
      <w:jc w:val="left"/>
      <w:outlineLvl w:val="3"/>
    </w:pPr>
    <w:rPr>
      <w:rFonts w:hint="eastAsia" w:ascii="Arial" w:hAnsi="Arial" w:eastAsia="宋体" w:cs="Times New Roman"/>
      <w:b/>
      <w:sz w:val="32"/>
    </w:rPr>
  </w:style>
  <w:style w:type="character" w:default="1" w:styleId="23">
    <w:name w:val="Default Paragraph Font"/>
    <w:unhideWhenUsed/>
    <w:qFormat/>
    <w:uiPriority w:val="1"/>
  </w:style>
  <w:style w:type="table" w:default="1" w:styleId="21">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table of authorities"/>
    <w:basedOn w:val="1"/>
    <w:next w:val="1"/>
    <w:unhideWhenUsed/>
    <w:qFormat/>
    <w:uiPriority w:val="99"/>
    <w:pPr>
      <w:spacing w:before="100" w:beforeAutospacing="1" w:after="100" w:afterAutospacing="1"/>
      <w:ind w:left="420" w:leftChars="200"/>
    </w:pPr>
    <w:rPr>
      <w:rFonts w:ascii="Times New Roman" w:hAnsi="Times New Roman"/>
      <w:szCs w:val="21"/>
    </w:rPr>
  </w:style>
  <w:style w:type="paragraph" w:styleId="4">
    <w:name w:val="Normal Indent"/>
    <w:basedOn w:val="1"/>
    <w:next w:val="1"/>
    <w:unhideWhenUsed/>
    <w:qFormat/>
    <w:uiPriority w:val="99"/>
    <w:pPr>
      <w:snapToGrid w:val="0"/>
      <w:spacing w:line="300" w:lineRule="auto"/>
      <w:ind w:firstLine="482"/>
    </w:pPr>
    <w:rPr>
      <w:rFonts w:ascii="宋体" w:hAnsi="宋体" w:cs="宋体"/>
      <w:kern w:val="0"/>
      <w:sz w:val="24"/>
      <w:szCs w:val="24"/>
    </w:rPr>
  </w:style>
  <w:style w:type="paragraph" w:styleId="5">
    <w:name w:val="Salutation"/>
    <w:basedOn w:val="1"/>
    <w:next w:val="1"/>
    <w:qFormat/>
    <w:uiPriority w:val="0"/>
    <w:rPr>
      <w:rFonts w:eastAsia="宋体"/>
      <w:szCs w:val="21"/>
    </w:rPr>
  </w:style>
  <w:style w:type="paragraph" w:styleId="6">
    <w:name w:val="Body Text"/>
    <w:basedOn w:val="1"/>
    <w:next w:val="1"/>
    <w:link w:val="29"/>
    <w:qFormat/>
    <w:uiPriority w:val="99"/>
    <w:pPr>
      <w:spacing w:after="120"/>
    </w:pPr>
    <w:rPr>
      <w:kern w:val="0"/>
      <w:sz w:val="20"/>
      <w:szCs w:val="24"/>
    </w:rPr>
  </w:style>
  <w:style w:type="paragraph" w:styleId="7">
    <w:name w:val="Body Text Indent"/>
    <w:basedOn w:val="1"/>
    <w:next w:val="4"/>
    <w:link w:val="30"/>
    <w:unhideWhenUsed/>
    <w:qFormat/>
    <w:uiPriority w:val="99"/>
    <w:pPr>
      <w:spacing w:before="100" w:beforeAutospacing="1" w:after="120"/>
      <w:ind w:left="420" w:leftChars="200"/>
    </w:pPr>
    <w:rPr>
      <w:rFonts w:ascii="Times New Roman" w:hAnsi="Times New Roman"/>
      <w:szCs w:val="21"/>
    </w:rPr>
  </w:style>
  <w:style w:type="paragraph" w:styleId="8">
    <w:name w:val="toc 5"/>
    <w:basedOn w:val="1"/>
    <w:next w:val="1"/>
    <w:qFormat/>
    <w:uiPriority w:val="0"/>
    <w:pPr>
      <w:keepNext w:val="0"/>
      <w:keepLines w:val="0"/>
      <w:widowControl w:val="0"/>
      <w:suppressLineNumbers w:val="0"/>
      <w:spacing w:before="0" w:beforeAutospacing="0" w:after="0" w:afterAutospacing="0"/>
      <w:ind w:left="1680" w:leftChars="800" w:right="0"/>
      <w:jc w:val="both"/>
    </w:pPr>
    <w:rPr>
      <w:rFonts w:hint="default" w:ascii="Calibri" w:hAnsi="Calibri" w:eastAsia="宋体" w:cs="Times New Roman"/>
      <w:kern w:val="2"/>
      <w:sz w:val="21"/>
      <w:szCs w:val="22"/>
      <w:lang w:val="en-US" w:eastAsia="zh-CN" w:bidi="ar"/>
    </w:rPr>
  </w:style>
  <w:style w:type="paragraph" w:styleId="9">
    <w:name w:val="Plain Text"/>
    <w:basedOn w:val="1"/>
    <w:link w:val="31"/>
    <w:unhideWhenUsed/>
    <w:qFormat/>
    <w:uiPriority w:val="99"/>
    <w:pPr>
      <w:keepNext w:val="0"/>
      <w:keepLines w:val="0"/>
      <w:widowControl w:val="0"/>
      <w:suppressLineNumbers w:val="0"/>
      <w:spacing w:before="0" w:beforeAutospacing="0" w:after="0" w:afterAutospacing="0"/>
      <w:ind w:left="0" w:right="0"/>
      <w:jc w:val="both"/>
    </w:pPr>
    <w:rPr>
      <w:rFonts w:hint="eastAsia" w:ascii="宋体" w:hAnsi="Courier New" w:eastAsia="宋体" w:cs="Times New Roman"/>
      <w:kern w:val="2"/>
      <w:sz w:val="21"/>
      <w:szCs w:val="22"/>
      <w:lang w:val="en-US" w:eastAsia="zh-CN" w:bidi="ar"/>
    </w:rPr>
  </w:style>
  <w:style w:type="paragraph" w:styleId="10">
    <w:name w:val="Date"/>
    <w:basedOn w:val="1"/>
    <w:next w:val="1"/>
    <w:link w:val="32"/>
    <w:unhideWhenUsed/>
    <w:qFormat/>
    <w:uiPriority w:val="99"/>
    <w:pPr>
      <w:ind w:left="100" w:leftChars="2500"/>
    </w:pPr>
  </w:style>
  <w:style w:type="paragraph" w:styleId="11">
    <w:name w:val="Body Text Indent 2"/>
    <w:basedOn w:val="1"/>
    <w:link w:val="33"/>
    <w:qFormat/>
    <w:uiPriority w:val="99"/>
    <w:pPr>
      <w:spacing w:line="588" w:lineRule="atLeast"/>
      <w:ind w:firstLine="640"/>
    </w:pPr>
    <w:rPr>
      <w:rFonts w:eastAsia="方正仿宋_GBK"/>
      <w:spacing w:val="6"/>
      <w:sz w:val="30"/>
    </w:rPr>
  </w:style>
  <w:style w:type="paragraph" w:styleId="12">
    <w:name w:val="Balloon Text"/>
    <w:basedOn w:val="1"/>
    <w:link w:val="34"/>
    <w:unhideWhenUsed/>
    <w:qFormat/>
    <w:uiPriority w:val="99"/>
    <w:rPr>
      <w:rFonts w:ascii="Times New Roman" w:hAnsi="Times New Roman"/>
      <w:sz w:val="18"/>
      <w:szCs w:val="18"/>
    </w:rPr>
  </w:style>
  <w:style w:type="paragraph" w:styleId="13">
    <w:name w:val="footer"/>
    <w:basedOn w:val="1"/>
    <w:next w:val="1"/>
    <w:link w:val="35"/>
    <w:unhideWhenUsed/>
    <w:qFormat/>
    <w:uiPriority w:val="99"/>
    <w:pPr>
      <w:tabs>
        <w:tab w:val="center" w:pos="4153"/>
        <w:tab w:val="right" w:pos="8306"/>
      </w:tabs>
      <w:snapToGrid w:val="0"/>
      <w:jc w:val="left"/>
    </w:pPr>
    <w:rPr>
      <w:kern w:val="0"/>
      <w:sz w:val="18"/>
      <w:szCs w:val="18"/>
    </w:rPr>
  </w:style>
  <w:style w:type="paragraph" w:styleId="14">
    <w:name w:val="header"/>
    <w:basedOn w:val="1"/>
    <w:link w:val="36"/>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footnote text"/>
    <w:basedOn w:val="1"/>
    <w:qFormat/>
    <w:uiPriority w:val="0"/>
    <w:pPr>
      <w:snapToGrid w:val="0"/>
      <w:jc w:val="left"/>
    </w:pPr>
    <w:rPr>
      <w:sz w:val="18"/>
    </w:rPr>
  </w:style>
  <w:style w:type="paragraph" w:styleId="16">
    <w:name w:val="Body Text 2"/>
    <w:basedOn w:val="1"/>
    <w:qFormat/>
    <w:uiPriority w:val="0"/>
    <w:pPr>
      <w:spacing w:after="120" w:line="480" w:lineRule="auto"/>
    </w:pPr>
    <w:rPr>
      <w:rFonts w:eastAsia="仿宋_GB2312"/>
      <w:sz w:val="32"/>
      <w:szCs w:val="20"/>
    </w:rPr>
  </w:style>
  <w:style w:type="paragraph" w:styleId="17">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0"/>
    </w:rPr>
  </w:style>
  <w:style w:type="paragraph" w:styleId="18">
    <w:name w:val="Title"/>
    <w:basedOn w:val="1"/>
    <w:next w:val="1"/>
    <w:qFormat/>
    <w:uiPriority w:val="10"/>
    <w:pPr>
      <w:spacing w:before="0" w:after="0" w:line="480" w:lineRule="auto"/>
      <w:jc w:val="center"/>
      <w:outlineLvl w:val="0"/>
    </w:pPr>
    <w:rPr>
      <w:rFonts w:ascii="Calibri Light" w:hAnsi="Calibri Light" w:eastAsia="宋体" w:cs="Times New Roman"/>
      <w:b/>
      <w:bCs/>
      <w:color w:val="auto"/>
      <w:sz w:val="48"/>
      <w:szCs w:val="32"/>
    </w:rPr>
  </w:style>
  <w:style w:type="paragraph" w:styleId="19">
    <w:name w:val="Body Text First Indent"/>
    <w:basedOn w:val="6"/>
    <w:link w:val="37"/>
    <w:unhideWhenUsed/>
    <w:qFormat/>
    <w:uiPriority w:val="99"/>
    <w:pPr>
      <w:ind w:firstLine="420" w:firstLineChars="100"/>
    </w:pPr>
    <w:rPr>
      <w:kern w:val="2"/>
      <w:sz w:val="21"/>
      <w:szCs w:val="22"/>
    </w:rPr>
  </w:style>
  <w:style w:type="paragraph" w:styleId="20">
    <w:name w:val="Body Text First Indent 2"/>
    <w:basedOn w:val="7"/>
    <w:next w:val="1"/>
    <w:link w:val="38"/>
    <w:unhideWhenUsed/>
    <w:qFormat/>
    <w:uiPriority w:val="99"/>
    <w:pPr>
      <w:ind w:firstLine="420" w:firstLineChars="200"/>
    </w:pPr>
    <w:rPr>
      <w:rFonts w:eastAsia="仿宋_GB2312"/>
    </w:rPr>
  </w:style>
  <w:style w:type="table" w:styleId="22">
    <w:name w:val="Table Grid"/>
    <w:basedOn w:val="21"/>
    <w:unhideWhenUsed/>
    <w:qFormat/>
    <w:uiPriority w:val="99"/>
    <w:pPr>
      <w:widowControl w:val="0"/>
      <w:jc w:val="both"/>
    </w:pPr>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unhideWhenUsed/>
    <w:qFormat/>
    <w:uiPriority w:val="0"/>
  </w:style>
  <w:style w:type="character" w:styleId="25">
    <w:name w:val="FollowedHyperlink"/>
    <w:unhideWhenUsed/>
    <w:qFormat/>
    <w:uiPriority w:val="99"/>
    <w:rPr>
      <w:color w:val="000000"/>
      <w:sz w:val="18"/>
      <w:szCs w:val="18"/>
      <w:u w:val="none"/>
    </w:rPr>
  </w:style>
  <w:style w:type="character" w:styleId="26">
    <w:name w:val="Hyperlink"/>
    <w:unhideWhenUsed/>
    <w:qFormat/>
    <w:uiPriority w:val="99"/>
    <w:rPr>
      <w:color w:val="000000"/>
      <w:sz w:val="18"/>
      <w:szCs w:val="18"/>
      <w:u w:val="none"/>
    </w:rPr>
  </w:style>
  <w:style w:type="paragraph" w:customStyle="1" w:styleId="27">
    <w:name w:val="正文2"/>
    <w:basedOn w:val="1"/>
    <w:next w:val="1"/>
    <w:qFormat/>
    <w:uiPriority w:val="0"/>
    <w:rPr>
      <w:rFonts w:ascii="Times New Roman" w:hAnsi="Times New Roman"/>
      <w:szCs w:val="21"/>
    </w:rPr>
  </w:style>
  <w:style w:type="character" w:customStyle="1" w:styleId="28">
    <w:name w:val="标题 4 字符"/>
    <w:link w:val="3"/>
    <w:qFormat/>
    <w:uiPriority w:val="0"/>
    <w:rPr>
      <w:rFonts w:ascii="Cambria" w:hAnsi="Cambria" w:eastAsia="宋体" w:cs="Times New Roman"/>
      <w:b/>
      <w:bCs/>
      <w:kern w:val="2"/>
      <w:sz w:val="28"/>
      <w:szCs w:val="28"/>
    </w:rPr>
  </w:style>
  <w:style w:type="character" w:customStyle="1" w:styleId="29">
    <w:name w:val="正文文本 字符"/>
    <w:link w:val="6"/>
    <w:qFormat/>
    <w:uiPriority w:val="99"/>
  </w:style>
  <w:style w:type="character" w:customStyle="1" w:styleId="30">
    <w:name w:val="正文文本缩进 字符"/>
    <w:link w:val="7"/>
    <w:semiHidden/>
    <w:qFormat/>
    <w:uiPriority w:val="99"/>
    <w:rPr>
      <w:rFonts w:ascii="Times New Roman" w:hAnsi="Times New Roman"/>
      <w:kern w:val="2"/>
      <w:sz w:val="21"/>
      <w:szCs w:val="21"/>
    </w:rPr>
  </w:style>
  <w:style w:type="character" w:customStyle="1" w:styleId="31">
    <w:name w:val="纯文本 字符"/>
    <w:link w:val="9"/>
    <w:qFormat/>
    <w:uiPriority w:val="0"/>
    <w:rPr>
      <w:rFonts w:hint="eastAsia" w:ascii="宋体" w:hAnsi="Courier New" w:eastAsia="宋体" w:cs="宋体"/>
      <w:kern w:val="2"/>
      <w:sz w:val="21"/>
      <w:szCs w:val="22"/>
    </w:rPr>
  </w:style>
  <w:style w:type="character" w:customStyle="1" w:styleId="32">
    <w:name w:val="日期 字符"/>
    <w:link w:val="10"/>
    <w:semiHidden/>
    <w:qFormat/>
    <w:uiPriority w:val="99"/>
  </w:style>
  <w:style w:type="character" w:customStyle="1" w:styleId="33">
    <w:name w:val="正文文本缩进 2 字符"/>
    <w:link w:val="11"/>
    <w:qFormat/>
    <w:uiPriority w:val="0"/>
    <w:rPr>
      <w:rFonts w:hint="eastAsia" w:ascii="方正仿宋_GBK" w:hAnsi="方正仿宋_GBK" w:eastAsia="方正仿宋_GBK" w:cs="方正仿宋_GBK"/>
      <w:spacing w:val="6"/>
      <w:kern w:val="2"/>
      <w:sz w:val="30"/>
      <w:szCs w:val="22"/>
    </w:rPr>
  </w:style>
  <w:style w:type="character" w:customStyle="1" w:styleId="34">
    <w:name w:val="批注框文本 字符"/>
    <w:link w:val="12"/>
    <w:semiHidden/>
    <w:qFormat/>
    <w:uiPriority w:val="99"/>
    <w:rPr>
      <w:rFonts w:ascii="Times New Roman" w:hAnsi="Times New Roman"/>
      <w:kern w:val="2"/>
      <w:sz w:val="18"/>
      <w:szCs w:val="18"/>
    </w:rPr>
  </w:style>
  <w:style w:type="character" w:customStyle="1" w:styleId="35">
    <w:name w:val="页脚 字符"/>
    <w:link w:val="13"/>
    <w:qFormat/>
    <w:uiPriority w:val="99"/>
    <w:rPr>
      <w:sz w:val="18"/>
      <w:szCs w:val="18"/>
    </w:rPr>
  </w:style>
  <w:style w:type="character" w:customStyle="1" w:styleId="36">
    <w:name w:val="页眉 字符"/>
    <w:link w:val="14"/>
    <w:semiHidden/>
    <w:qFormat/>
    <w:uiPriority w:val="99"/>
    <w:rPr>
      <w:sz w:val="18"/>
      <w:szCs w:val="18"/>
    </w:rPr>
  </w:style>
  <w:style w:type="character" w:customStyle="1" w:styleId="37">
    <w:name w:val="正文首行缩进 字符"/>
    <w:link w:val="19"/>
    <w:qFormat/>
    <w:uiPriority w:val="99"/>
    <w:rPr>
      <w:kern w:val="2"/>
      <w:sz w:val="21"/>
      <w:szCs w:val="22"/>
    </w:rPr>
  </w:style>
  <w:style w:type="character" w:customStyle="1" w:styleId="38">
    <w:name w:val="正文首行缩进 2 字符"/>
    <w:link w:val="20"/>
    <w:qFormat/>
    <w:uiPriority w:val="0"/>
    <w:rPr>
      <w:kern w:val="2"/>
      <w:sz w:val="21"/>
      <w:szCs w:val="22"/>
    </w:rPr>
  </w:style>
  <w:style w:type="paragraph" w:customStyle="1" w:styleId="39">
    <w:name w:val="Default"/>
    <w:next w:val="1"/>
    <w:qFormat/>
    <w:uiPriority w:val="99"/>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 w:type="paragraph" w:customStyle="1" w:styleId="40">
    <w:name w:val="明显引用1"/>
    <w:next w:val="1"/>
    <w:qFormat/>
    <w:uiPriority w:val="0"/>
    <w:pPr>
      <w:wordWrap w:val="0"/>
      <w:ind w:left="950" w:right="950"/>
      <w:jc w:val="center"/>
    </w:pPr>
    <w:rPr>
      <w:rFonts w:ascii="Times New Roman" w:hAnsi="Times New Roman" w:eastAsia="宋体" w:cs="Times New Roman"/>
      <w:i/>
      <w:iCs/>
      <w:sz w:val="21"/>
      <w:szCs w:val="21"/>
      <w:lang w:val="en-US" w:eastAsia="zh-CN" w:bidi="ar-SA"/>
    </w:rPr>
  </w:style>
  <w:style w:type="paragraph" w:customStyle="1" w:styleId="41">
    <w:name w:val="UserStyle_0"/>
    <w:basedOn w:val="42"/>
    <w:qFormat/>
    <w:uiPriority w:val="0"/>
    <w:pPr>
      <w:spacing w:after="120"/>
      <w:ind w:left="420" w:leftChars="200" w:firstLine="420" w:firstLineChars="200"/>
      <w:jc w:val="both"/>
      <w:textAlignment w:val="baseline"/>
    </w:pPr>
    <w:rPr>
      <w:rFonts w:ascii="Calibri" w:hAnsi="Calibri" w:eastAsia="宋体"/>
      <w:kern w:val="2"/>
      <w:sz w:val="21"/>
      <w:szCs w:val="24"/>
      <w:lang w:val="en-US" w:eastAsia="zh-CN" w:bidi="ar-SA"/>
    </w:rPr>
  </w:style>
  <w:style w:type="paragraph" w:customStyle="1" w:styleId="42">
    <w:name w:val="UserStyle_1"/>
    <w:basedOn w:val="1"/>
    <w:next w:val="43"/>
    <w:qFormat/>
    <w:uiPriority w:val="0"/>
    <w:pPr>
      <w:spacing w:after="120"/>
      <w:ind w:left="420" w:leftChars="200"/>
      <w:jc w:val="both"/>
      <w:textAlignment w:val="baseline"/>
    </w:pPr>
    <w:rPr>
      <w:rFonts w:ascii="Calibri" w:hAnsi="Calibri" w:eastAsia="宋体"/>
      <w:kern w:val="2"/>
      <w:sz w:val="21"/>
      <w:szCs w:val="24"/>
      <w:lang w:val="en-US" w:eastAsia="zh-CN" w:bidi="ar-SA"/>
    </w:rPr>
  </w:style>
  <w:style w:type="paragraph" w:customStyle="1" w:styleId="43">
    <w:name w:val="UserStyle_2"/>
    <w:basedOn w:val="1"/>
    <w:qFormat/>
    <w:uiPriority w:val="0"/>
    <w:pPr>
      <w:ind w:firstLine="420" w:firstLineChars="200"/>
      <w:jc w:val="both"/>
      <w:textAlignment w:val="baseline"/>
    </w:pPr>
    <w:rPr>
      <w:rFonts w:ascii="Calibri" w:hAnsi="Calibri" w:eastAsia="仿宋"/>
      <w:kern w:val="2"/>
      <w:sz w:val="32"/>
      <w:szCs w:val="24"/>
      <w:lang w:val="en-US" w:eastAsia="zh-CN" w:bidi="ar-SA"/>
    </w:rPr>
  </w:style>
  <w:style w:type="character" w:customStyle="1" w:styleId="44">
    <w:name w:val="日期 Char1"/>
    <w:semiHidden/>
    <w:qFormat/>
    <w:locked/>
    <w:uiPriority w:val="99"/>
    <w:rPr>
      <w:rFonts w:ascii="Times New Roman" w:hAnsi="Times New Roman"/>
      <w:kern w:val="2"/>
      <w:sz w:val="21"/>
      <w:szCs w:val="22"/>
    </w:rPr>
  </w:style>
  <w:style w:type="character" w:customStyle="1" w:styleId="45">
    <w:name w:val="spl"/>
    <w:qFormat/>
    <w:uiPriority w:val="0"/>
    <w:rPr>
      <w:color w:val="474646"/>
      <w:sz w:val="22"/>
      <w:szCs w:val="22"/>
    </w:rPr>
  </w:style>
  <w:style w:type="character" w:customStyle="1" w:styleId="46">
    <w:name w:val="正文首行缩进 2 Char"/>
    <w:semiHidden/>
    <w:qFormat/>
    <w:uiPriority w:val="99"/>
    <w:rPr>
      <w:rFonts w:ascii="Times New Roman" w:hAnsi="Times New Roman" w:eastAsia="仿宋_GB2312" w:cs="宋体"/>
      <w:kern w:val="2"/>
      <w:sz w:val="21"/>
      <w:szCs w:val="21"/>
    </w:rPr>
  </w:style>
  <w:style w:type="character" w:customStyle="1" w:styleId="47">
    <w:name w:val="font21"/>
    <w:qFormat/>
    <w:uiPriority w:val="0"/>
    <w:rPr>
      <w:rFonts w:hint="eastAsia" w:ascii="宋体" w:hAnsi="宋体" w:eastAsia="宋体" w:cs="宋体"/>
      <w:color w:val="000000"/>
      <w:sz w:val="22"/>
      <w:szCs w:val="22"/>
      <w:u w:val="none"/>
    </w:rPr>
  </w:style>
  <w:style w:type="character" w:customStyle="1" w:styleId="48">
    <w:name w:val="10"/>
    <w:qFormat/>
    <w:uiPriority w:val="0"/>
    <w:rPr>
      <w:rFonts w:hint="default" w:ascii="Calibri" w:hAnsi="Calibri"/>
    </w:rPr>
  </w:style>
  <w:style w:type="character" w:customStyle="1" w:styleId="49">
    <w:name w:val="正文文本 Char"/>
    <w:qFormat/>
    <w:uiPriority w:val="0"/>
    <w:rPr>
      <w:szCs w:val="24"/>
    </w:rPr>
  </w:style>
  <w:style w:type="character" w:customStyle="1" w:styleId="50">
    <w:name w:val="15"/>
    <w:basedOn w:val="23"/>
    <w:qFormat/>
    <w:uiPriority w:val="0"/>
    <w:rPr>
      <w:rFonts w:hint="default" w:ascii="Calibri" w:hAnsi="Calibri"/>
      <w:color w:val="000000"/>
      <w:sz w:val="18"/>
      <w:szCs w:val="18"/>
    </w:rPr>
  </w:style>
  <w:style w:type="character" w:customStyle="1" w:styleId="51">
    <w:name w:val="spr1"/>
    <w:qFormat/>
    <w:uiPriority w:val="0"/>
  </w:style>
  <w:style w:type="character" w:customStyle="1" w:styleId="52">
    <w:name w:val="spr"/>
    <w:qFormat/>
    <w:uiPriority w:val="0"/>
  </w:style>
  <w:style w:type="character" w:customStyle="1" w:styleId="53">
    <w:name w:val="spl1"/>
    <w:qFormat/>
    <w:uiPriority w:val="0"/>
    <w:rPr>
      <w:color w:val="474646"/>
      <w:sz w:val="22"/>
      <w:szCs w:val="22"/>
    </w:rPr>
  </w:style>
  <w:style w:type="character" w:customStyle="1" w:styleId="54">
    <w:name w:val="正文文本 Char2"/>
    <w:qFormat/>
    <w:locked/>
    <w:uiPriority w:val="99"/>
    <w:rPr>
      <w:rFonts w:ascii="Times New Roman" w:hAnsi="Times New Roman"/>
      <w:kern w:val="2"/>
      <w:sz w:val="21"/>
      <w:szCs w:val="24"/>
    </w:rPr>
  </w:style>
  <w:style w:type="character" w:customStyle="1" w:styleId="55">
    <w:name w:val="页眉 Char1"/>
    <w:semiHidden/>
    <w:qFormat/>
    <w:locked/>
    <w:uiPriority w:val="99"/>
    <w:rPr>
      <w:rFonts w:ascii="Times New Roman" w:hAnsi="Times New Roman"/>
      <w:sz w:val="18"/>
      <w:szCs w:val="18"/>
    </w:rPr>
  </w:style>
  <w:style w:type="character" w:customStyle="1" w:styleId="56">
    <w:name w:val="16"/>
    <w:qFormat/>
    <w:uiPriority w:val="0"/>
    <w:rPr>
      <w:rFonts w:hint="default" w:ascii="Calibri" w:hAnsi="Calibri"/>
    </w:rPr>
  </w:style>
  <w:style w:type="character" w:customStyle="1" w:styleId="57">
    <w:name w:val="页脚 Char1"/>
    <w:semiHidden/>
    <w:qFormat/>
    <w:locked/>
    <w:uiPriority w:val="99"/>
    <w:rPr>
      <w:rFonts w:ascii="Times New Roman" w:hAnsi="Times New Roman"/>
      <w:sz w:val="18"/>
      <w:szCs w:val="18"/>
    </w:rPr>
  </w:style>
  <w:style w:type="character" w:customStyle="1" w:styleId="58">
    <w:name w:val="二级标题 Char"/>
    <w:link w:val="59"/>
    <w:qFormat/>
    <w:locked/>
    <w:uiPriority w:val="0"/>
    <w:rPr>
      <w:rFonts w:ascii="楷体_GB2312" w:eastAsia="楷体_GB2312"/>
      <w:sz w:val="32"/>
      <w:szCs w:val="24"/>
    </w:rPr>
  </w:style>
  <w:style w:type="paragraph" w:customStyle="1" w:styleId="59">
    <w:name w:val="二级标题"/>
    <w:basedOn w:val="60"/>
    <w:next w:val="60"/>
    <w:link w:val="58"/>
    <w:qFormat/>
    <w:uiPriority w:val="0"/>
    <w:pPr>
      <w:outlineLvl w:val="3"/>
    </w:pPr>
    <w:rPr>
      <w:rFonts w:ascii="楷体_GB2312" w:eastAsia="楷体_GB2312"/>
      <w:sz w:val="32"/>
      <w:szCs w:val="24"/>
    </w:rPr>
  </w:style>
  <w:style w:type="paragraph" w:customStyle="1" w:styleId="60">
    <w:name w:val="公文主体"/>
    <w:basedOn w:val="1"/>
    <w:qFormat/>
    <w:uiPriority w:val="0"/>
    <w:pPr>
      <w:spacing w:line="580" w:lineRule="exact"/>
      <w:ind w:firstLine="200" w:firstLineChars="200"/>
    </w:pPr>
    <w:rPr>
      <w:rFonts w:ascii="仿宋_GB2312" w:hAnsi="Calibri" w:eastAsia="仿宋_GB2312"/>
      <w:kern w:val="0"/>
      <w:sz w:val="24"/>
      <w:szCs w:val="20"/>
    </w:rPr>
  </w:style>
  <w:style w:type="character" w:customStyle="1" w:styleId="61">
    <w:name w:val="NormalCharacter"/>
    <w:link w:val="62"/>
    <w:qFormat/>
    <w:uiPriority w:val="0"/>
    <w:rPr>
      <w:rFonts w:ascii="Verdana" w:hAnsi="Verdana"/>
      <w:kern w:val="0"/>
      <w:sz w:val="20"/>
      <w:szCs w:val="21"/>
      <w:lang w:eastAsia="en-US"/>
    </w:rPr>
  </w:style>
  <w:style w:type="paragraph" w:customStyle="1" w:styleId="62">
    <w:name w:val="UserStyle_4"/>
    <w:basedOn w:val="1"/>
    <w:link w:val="61"/>
    <w:qFormat/>
    <w:uiPriority w:val="0"/>
    <w:pPr>
      <w:widowControl/>
      <w:spacing w:after="160" w:line="240" w:lineRule="exact"/>
      <w:jc w:val="left"/>
      <w:textAlignment w:val="baseline"/>
    </w:pPr>
    <w:rPr>
      <w:rFonts w:ascii="Verdana" w:hAnsi="Verdana"/>
      <w:kern w:val="0"/>
      <w:sz w:val="20"/>
      <w:szCs w:val="21"/>
      <w:lang w:eastAsia="en-US"/>
    </w:rPr>
  </w:style>
  <w:style w:type="paragraph" w:customStyle="1" w:styleId="63">
    <w:name w:val="11公文正文标题1"/>
    <w:basedOn w:val="64"/>
    <w:next w:val="64"/>
    <w:qFormat/>
    <w:uiPriority w:val="0"/>
    <w:rPr>
      <w:rFonts w:ascii="黑体" w:hAnsi="黑体" w:eastAsia="黑体"/>
      <w:szCs w:val="20"/>
    </w:rPr>
  </w:style>
  <w:style w:type="paragraph" w:customStyle="1" w:styleId="64">
    <w:name w:val="15公文正文"/>
    <w:basedOn w:val="1"/>
    <w:link w:val="66"/>
    <w:qFormat/>
    <w:uiPriority w:val="0"/>
    <w:pPr>
      <w:snapToGrid w:val="0"/>
      <w:spacing w:line="600" w:lineRule="exact"/>
      <w:ind w:firstLine="880" w:firstLineChars="200"/>
    </w:pPr>
    <w:rPr>
      <w:rFonts w:ascii="Times New Roman" w:hAnsi="Times New Roman" w:eastAsia="方正仿宋_GBK"/>
      <w:kern w:val="0"/>
      <w:sz w:val="32"/>
      <w:szCs w:val="32"/>
    </w:rPr>
  </w:style>
  <w:style w:type="character" w:customStyle="1" w:styleId="65">
    <w:name w:val="15公文正文 Char1"/>
    <w:link w:val="64"/>
    <w:qFormat/>
    <w:locked/>
    <w:uiPriority w:val="0"/>
    <w:rPr>
      <w:rFonts w:ascii="仿宋_GB2312" w:hAnsi="仿宋_GB2312" w:eastAsia="方正仿宋_GBK"/>
      <w:sz w:val="32"/>
      <w:szCs w:val="21"/>
    </w:rPr>
  </w:style>
  <w:style w:type="character" w:customStyle="1" w:styleId="66">
    <w:name w:val="15公文正文 Char"/>
    <w:link w:val="64"/>
    <w:qFormat/>
    <w:uiPriority w:val="0"/>
    <w:rPr>
      <w:rFonts w:ascii="Times New Roman" w:hAnsi="Times New Roman" w:eastAsia="方正仿宋_GBK"/>
      <w:kern w:val="0"/>
      <w:sz w:val="32"/>
      <w:szCs w:val="32"/>
    </w:rPr>
  </w:style>
  <w:style w:type="paragraph" w:styleId="67">
    <w:name w:val="List Paragraph"/>
    <w:basedOn w:val="1"/>
    <w:qFormat/>
    <w:uiPriority w:val="34"/>
    <w:pPr>
      <w:ind w:firstLine="420" w:firstLineChars="200"/>
    </w:pPr>
  </w:style>
  <w:style w:type="paragraph" w:customStyle="1" w:styleId="68">
    <w:name w:val="17.0公文附件"/>
    <w:basedOn w:val="64"/>
    <w:qFormat/>
    <w:uiPriority w:val="0"/>
    <w:pPr>
      <w:spacing w:before="100" w:beforeAutospacing="1" w:after="100" w:afterAutospacing="1"/>
      <w:ind w:left="1730" w:leftChars="300" w:hanging="1100" w:hangingChars="250"/>
    </w:pPr>
    <w:rPr>
      <w:kern w:val="2"/>
    </w:rPr>
  </w:style>
  <w:style w:type="paragraph" w:customStyle="1" w:styleId="69">
    <w:name w:val="10公文主送机关"/>
    <w:basedOn w:val="1"/>
    <w:qFormat/>
    <w:uiPriority w:val="0"/>
    <w:pPr>
      <w:spacing w:line="600" w:lineRule="exact"/>
    </w:pPr>
    <w:rPr>
      <w:rFonts w:ascii="方正仿宋_GBK" w:hAnsi="宋体" w:eastAsia="方正仿宋_GBK" w:cs="宋体"/>
      <w:sz w:val="32"/>
      <w:szCs w:val="32"/>
    </w:rPr>
  </w:style>
  <w:style w:type="paragraph" w:customStyle="1" w:styleId="70">
    <w:name w:val="17.1公文附件1"/>
    <w:basedOn w:val="1"/>
    <w:next w:val="1"/>
    <w:qFormat/>
    <w:uiPriority w:val="0"/>
    <w:pPr>
      <w:snapToGrid w:val="0"/>
      <w:spacing w:before="100" w:beforeAutospacing="1" w:after="100" w:afterAutospacing="1" w:line="600" w:lineRule="exact"/>
      <w:ind w:left="2610" w:leftChars="300" w:hanging="1980" w:hangingChars="450"/>
    </w:pPr>
    <w:rPr>
      <w:rFonts w:ascii="Times New Roman" w:hAnsi="Times New Roman" w:eastAsia="方正仿宋_GBK"/>
      <w:bCs/>
      <w:color w:val="000000"/>
      <w:sz w:val="32"/>
      <w:szCs w:val="32"/>
    </w:rPr>
  </w:style>
  <w:style w:type="paragraph" w:customStyle="1" w:styleId="71">
    <w:name w:val="17.2公文附件2"/>
    <w:basedOn w:val="1"/>
    <w:next w:val="70"/>
    <w:qFormat/>
    <w:uiPriority w:val="0"/>
    <w:pPr>
      <w:snapToGrid w:val="0"/>
      <w:spacing w:before="100" w:beforeAutospacing="1" w:after="100" w:afterAutospacing="1" w:line="600" w:lineRule="exact"/>
      <w:ind w:left="2340" w:leftChars="800" w:hanging="660" w:hangingChars="150"/>
    </w:pPr>
    <w:rPr>
      <w:rFonts w:ascii="Times New Roman" w:hAnsi="Times New Roman" w:eastAsia="方正仿宋_GBK"/>
      <w:bCs/>
      <w:color w:val="000000"/>
      <w:sz w:val="32"/>
      <w:szCs w:val="32"/>
    </w:rPr>
  </w:style>
  <w:style w:type="paragraph" w:customStyle="1" w:styleId="72">
    <w:name w:val="00公文标题"/>
    <w:basedOn w:val="1"/>
    <w:qFormat/>
    <w:uiPriority w:val="0"/>
    <w:pPr>
      <w:snapToGrid w:val="0"/>
      <w:spacing w:line="600" w:lineRule="exact"/>
      <w:jc w:val="center"/>
    </w:pPr>
    <w:rPr>
      <w:rFonts w:ascii="方正小标宋_GBK" w:hAnsi="宋体" w:eastAsia="方正小标宋_GBK" w:cs="宋体"/>
      <w:sz w:val="44"/>
      <w:szCs w:val="44"/>
    </w:rPr>
  </w:style>
  <w:style w:type="paragraph" w:customStyle="1" w:styleId="73">
    <w:name w:val="正文 A"/>
    <w:basedOn w:val="1"/>
    <w:qFormat/>
    <w:uiPriority w:val="0"/>
    <w:rPr>
      <w:rFonts w:ascii="Arial Unicode MS" w:hAnsi="Arial Unicode MS" w:cs="Arial Unicode MS"/>
      <w:color w:val="000000"/>
      <w:szCs w:val="21"/>
      <w:u w:val="none" w:color="000000"/>
    </w:rPr>
  </w:style>
  <w:style w:type="paragraph" w:customStyle="1" w:styleId="74">
    <w:name w:val="21附件头"/>
    <w:basedOn w:val="64"/>
    <w:qFormat/>
    <w:uiPriority w:val="0"/>
    <w:pPr>
      <w:ind w:firstLine="0" w:firstLineChars="0"/>
    </w:pPr>
    <w:rPr>
      <w:rFonts w:ascii="方正小标宋_GBK" w:hAnsi="方正小标宋_GBK" w:eastAsia="方正黑体_GBK" w:cs="方正小标宋_GBK"/>
      <w:kern w:val="2"/>
    </w:rPr>
  </w:style>
  <w:style w:type="paragraph" w:customStyle="1" w:styleId="75">
    <w:name w:val="首行缩进"/>
    <w:basedOn w:val="1"/>
    <w:qFormat/>
    <w:uiPriority w:val="0"/>
    <w:pPr>
      <w:spacing w:line="360" w:lineRule="auto"/>
      <w:ind w:firstLine="480" w:firstLineChars="200"/>
    </w:pPr>
    <w:rPr>
      <w:rFonts w:ascii="宋体" w:hAnsi="宋体" w:cs="宋体"/>
      <w:kern w:val="0"/>
      <w:sz w:val="24"/>
    </w:rPr>
  </w:style>
  <w:style w:type="paragraph" w:customStyle="1" w:styleId="76">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77">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78">
    <w:name w:val="公文正文"/>
    <w:basedOn w:val="1"/>
    <w:qFormat/>
    <w:uiPriority w:val="0"/>
    <w:pPr>
      <w:spacing w:line="560" w:lineRule="exact"/>
      <w:ind w:firstLine="200" w:firstLineChars="200"/>
    </w:pPr>
    <w:rPr>
      <w:rFonts w:ascii="仿宋_GB2312" w:hAnsi="仿宋_GB2312" w:eastAsia="仿宋_GB2312" w:cs="仿宋_GB2312"/>
      <w:sz w:val="32"/>
      <w:szCs w:val="32"/>
    </w:rPr>
  </w:style>
  <w:style w:type="paragraph" w:customStyle="1" w:styleId="79">
    <w:name w:val="p0"/>
    <w:basedOn w:val="1"/>
    <w:qFormat/>
    <w:uiPriority w:val="0"/>
    <w:pPr>
      <w:widowControl/>
    </w:pPr>
    <w:rPr>
      <w:rFonts w:ascii="Times New Roman" w:hAnsi="Times New Roman"/>
      <w:kern w:val="0"/>
      <w:sz w:val="32"/>
      <w:szCs w:val="32"/>
    </w:rPr>
  </w:style>
  <w:style w:type="paragraph" w:customStyle="1" w:styleId="80">
    <w:name w:val="Normal Indent1"/>
    <w:basedOn w:val="1"/>
    <w:qFormat/>
    <w:uiPriority w:val="0"/>
    <w:pPr>
      <w:ind w:firstLine="420" w:firstLineChars="200"/>
    </w:pPr>
    <w:rPr>
      <w:rFonts w:ascii="Times New Roman" w:hAnsi="Times New Roman"/>
      <w:szCs w:val="21"/>
    </w:rPr>
  </w:style>
  <w:style w:type="paragraph" w:customStyle="1" w:styleId="81">
    <w:name w:val="19公文落款"/>
    <w:basedOn w:val="1"/>
    <w:qFormat/>
    <w:uiPriority w:val="0"/>
    <w:pPr>
      <w:spacing w:before="100" w:beforeAutospacing="1" w:after="100" w:afterAutospacing="1" w:line="300" w:lineRule="auto"/>
      <w:ind w:left="2940" w:leftChars="1400"/>
      <w:jc w:val="center"/>
    </w:pPr>
    <w:rPr>
      <w:rFonts w:ascii="Times New Roman" w:hAnsi="Times New Roman" w:eastAsia="方正仿宋_GBK"/>
      <w:kern w:val="0"/>
      <w:sz w:val="32"/>
      <w:szCs w:val="32"/>
    </w:rPr>
  </w:style>
  <w:style w:type="character" w:customStyle="1" w:styleId="82">
    <w:name w:val="12公文正文标题2 Char"/>
    <w:qFormat/>
    <w:uiPriority w:val="0"/>
    <w:rPr>
      <w:rFonts w:ascii="方正楷体_GBK" w:hAnsi="方正楷体_GBK" w:eastAsia="方正楷体_GBK" w:cs="方正楷体_GBK"/>
      <w:kern w:val="0"/>
      <w:sz w:val="32"/>
      <w:szCs w:val="32"/>
    </w:rPr>
  </w:style>
  <w:style w:type="paragraph" w:customStyle="1" w:styleId="83">
    <w:name w:val="12公文正文标题2"/>
    <w:basedOn w:val="1"/>
    <w:next w:val="64"/>
    <w:link w:val="84"/>
    <w:qFormat/>
    <w:uiPriority w:val="0"/>
    <w:pPr>
      <w:spacing w:line="560" w:lineRule="exact"/>
      <w:ind w:firstLine="880" w:firstLineChars="200"/>
      <w:outlineLvl w:val="3"/>
    </w:pPr>
    <w:rPr>
      <w:rFonts w:ascii="方正楷体_GBK" w:hAnsi="方正楷体_GBK" w:eastAsia="方正楷体_GBK" w:cs="方正楷体_GBK"/>
      <w:kern w:val="0"/>
      <w:sz w:val="32"/>
      <w:szCs w:val="32"/>
    </w:rPr>
  </w:style>
  <w:style w:type="character" w:customStyle="1" w:styleId="84">
    <w:name w:val="12公文正文标题2 Char1"/>
    <w:link w:val="83"/>
    <w:qFormat/>
    <w:uiPriority w:val="0"/>
    <w:rPr>
      <w:rFonts w:ascii="方正楷体_GBK" w:hAnsi="方正楷体_GBK" w:eastAsia="方正楷体_GBK" w:cs="方正楷体_GBK"/>
      <w:kern w:val="0"/>
      <w:sz w:val="32"/>
      <w:szCs w:val="32"/>
    </w:rPr>
  </w:style>
  <w:style w:type="paragraph" w:customStyle="1" w:styleId="85">
    <w:name w:val="25表格图片说明"/>
    <w:basedOn w:val="1"/>
    <w:qFormat/>
    <w:uiPriority w:val="0"/>
    <w:pPr>
      <w:spacing w:before="50" w:beforeLines="50" w:after="50" w:afterLines="50"/>
      <w:jc w:val="center"/>
    </w:pPr>
    <w:rPr>
      <w:rFonts w:hint="eastAsia" w:ascii="Times New Roman" w:hAnsi="Times New Roman" w:eastAsia="黑体" w:cs="黑体"/>
      <w:sz w:val="21"/>
      <w:szCs w:val="30"/>
    </w:rPr>
  </w:style>
  <w:style w:type="paragraph" w:customStyle="1" w:styleId="86">
    <w:name w:val="Heading #2|1"/>
    <w:basedOn w:val="1"/>
    <w:qFormat/>
    <w:uiPriority w:val="0"/>
    <w:pPr>
      <w:widowControl w:val="0"/>
      <w:shd w:val="clear" w:color="auto" w:fill="auto"/>
      <w:spacing w:after="540" w:line="269" w:lineRule="auto"/>
      <w:ind w:firstLine="110"/>
      <w:outlineLvl w:val="1"/>
    </w:pPr>
    <w:rPr>
      <w:rFonts w:ascii="宋体" w:hAnsi="宋体" w:eastAsia="宋体" w:cs="宋体"/>
      <w:sz w:val="44"/>
      <w:szCs w:val="44"/>
      <w:u w:val="none"/>
      <w:shd w:val="clear" w:color="auto" w:fill="auto"/>
      <w:lang w:val="zh-TW" w:eastAsia="zh-TW" w:bidi="zh-TW"/>
    </w:rPr>
  </w:style>
  <w:style w:type="paragraph" w:customStyle="1" w:styleId="87">
    <w:name w:val="Body text|1"/>
    <w:basedOn w:val="1"/>
    <w:qFormat/>
    <w:uiPriority w:val="0"/>
    <w:pPr>
      <w:widowControl w:val="0"/>
      <w:shd w:val="clear" w:color="auto" w:fill="auto"/>
      <w:spacing w:line="386" w:lineRule="auto"/>
      <w:ind w:firstLine="400"/>
    </w:pPr>
    <w:rPr>
      <w:rFonts w:ascii="宋体" w:hAnsi="宋体" w:eastAsia="宋体" w:cs="宋体"/>
      <w:sz w:val="32"/>
      <w:szCs w:val="32"/>
      <w:u w:val="none"/>
      <w:shd w:val="clear" w:color="auto" w:fill="auto"/>
      <w:lang w:val="zh-TW" w:eastAsia="zh-TW" w:bidi="zh-TW"/>
    </w:rPr>
  </w:style>
  <w:style w:type="paragraph" w:customStyle="1" w:styleId="88">
    <w:name w:val="Body text|2"/>
    <w:basedOn w:val="1"/>
    <w:qFormat/>
    <w:uiPriority w:val="0"/>
    <w:pPr>
      <w:widowControl w:val="0"/>
      <w:shd w:val="clear" w:color="auto" w:fill="auto"/>
      <w:spacing w:after="680"/>
    </w:pPr>
    <w:rPr>
      <w:sz w:val="32"/>
      <w:szCs w:val="32"/>
      <w:u w:val="none"/>
      <w:shd w:val="clear" w:color="auto" w:fill="auto"/>
      <w:lang w:val="zh-TW" w:eastAsia="zh-TW" w:bidi="zh-TW"/>
    </w:rPr>
  </w:style>
  <w:style w:type="character" w:customStyle="1" w:styleId="89">
    <w:name w:val="13公文正文标题3 Char"/>
    <w:link w:val="90"/>
    <w:qFormat/>
    <w:uiPriority w:val="0"/>
    <w:rPr>
      <w:rFonts w:hint="eastAsia" w:ascii="方正仿宋_GBK" w:hAnsi="方正仿宋_GBK" w:eastAsia="方正仿宋_GBK" w:cs="方正仿宋_GBK"/>
      <w:b/>
      <w:bCs/>
      <w:sz w:val="32"/>
      <w:szCs w:val="32"/>
    </w:rPr>
  </w:style>
  <w:style w:type="paragraph" w:customStyle="1" w:styleId="90">
    <w:name w:val="13公文正文标题3"/>
    <w:basedOn w:val="1"/>
    <w:link w:val="89"/>
    <w:qFormat/>
    <w:uiPriority w:val="0"/>
    <w:pPr>
      <w:spacing w:line="560" w:lineRule="exact"/>
      <w:ind w:firstLine="880" w:firstLineChars="200"/>
    </w:pPr>
    <w:rPr>
      <w:rFonts w:hint="eastAsia" w:ascii="方正仿宋_GBK" w:hAnsi="方正仿宋_GBK" w:eastAsia="方正仿宋_GBK" w:cs="方正仿宋_GBK"/>
      <w:b/>
      <w:bCs/>
      <w:sz w:val="32"/>
      <w:szCs w:val="32"/>
    </w:rPr>
  </w:style>
  <w:style w:type="character" w:customStyle="1" w:styleId="91">
    <w:name w:val="font11"/>
    <w:qFormat/>
    <w:uiPriority w:val="0"/>
    <w:rPr>
      <w:rFonts w:hint="eastAsia" w:ascii="方正仿宋_GBK" w:hAnsi="方正仿宋_GBK" w:eastAsia="方正仿宋_GBK" w:cs="方正仿宋_GBK"/>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4276</Words>
  <Characters>4553</Characters>
  <Lines>44</Lines>
  <Paragraphs>12</Paragraphs>
  <TotalTime>42</TotalTime>
  <ScaleCrop>false</ScaleCrop>
  <LinksUpToDate>false</LinksUpToDate>
  <CharactersWithSpaces>4822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2022-11-24T09:19:00Z</dcterms:created>
  <dc:creator>魏上云</dc:creator>
  <cp:lastModifiedBy>Administrator</cp:lastModifiedBy>
  <cp:lastPrinted>2025-02-13T03:05:00Z</cp:lastPrinted>
  <dcterms:modified xsi:type="dcterms:W3CDTF">2025-02-13T07:55:01Z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03071B6813C54E2B84E8D05824582DDE_13</vt:lpwstr>
  </property>
  <property fmtid="{D5CDD505-2E9C-101B-9397-08002B2CF9AE}" pid="4" name="KSOTemplateDocerSaveRecord">
    <vt:lpwstr>eyJoZGlkIjoiYjM0ODRkNzM1Y2MzYjAxZmFlMGJkNTgzYzcwZDhiZGEiLCJ1c2VySWQiOiIyODE2MTk4NjgifQ==</vt:lpwstr>
  </property>
</Properties>
</file>